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КАЗАХСКИЙ НАЦИОНАЛЬНЫЙ УНИВЕРСИТЕТ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ИМЕНИ АЛЬ-ФАРАБИ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Факультет медицины и здравоохранения 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Высш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ая школа медицины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Кафедра фундаментальной медицины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Программа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заключительного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 экзамена по дисциплине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8080"/>
        </w:tabs>
        <w:spacing w:before="3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</w:t>
      </w:r>
    </w:p>
    <w:p w:rsidR="00000000" w:rsidDel="00000000" w:rsidP="00000000" w:rsidRDefault="00000000" w:rsidRPr="00000000" w14:paraId="00000009">
      <w:pPr>
        <w:tabs>
          <w:tab w:val="left" w:leader="none" w:pos="8080"/>
        </w:tabs>
        <w:spacing w:before="3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МОЛЕКУЛЯРНЫЕ ОСНОВЫ ПАТОЛОГИИ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before="3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10 </w:t>
      </w:r>
      <w:r w:rsidDel="00000000" w:rsidR="00000000" w:rsidRPr="00000000">
        <w:rPr>
          <w:b w:val="1"/>
          <w:color w:val="222222"/>
          <w:sz w:val="28"/>
          <w:szCs w:val="28"/>
          <w:rtl w:val="0"/>
        </w:rPr>
        <w:t xml:space="preserve">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319" w:lineRule="auto"/>
        <w:ind w:left="11" w:right="349" w:firstLine="0"/>
        <w:jc w:val="both"/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highlight w:val="white"/>
          <w:rtl w:val="0"/>
        </w:rPr>
        <w:t xml:space="preserve">Ожидаемые результаты: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Студенты на выпускном экзамене должны продемонстрировать способность: 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before="319" w:lineRule="auto"/>
        <w:ind w:left="426" w:right="349" w:hanging="426"/>
        <w:jc w:val="both"/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рименять знания о молекулярных и генетических аспектах генетически детерминированных заболеваний (хромосомных, моногенных, полигенных); понимать принципы генетической диагностики и медико-генетического консультирования 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ind w:left="426" w:right="349" w:hanging="426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рименять знания молекулярно-генетических, биохимических механизмов реакции организма на лекарства и биологически активные соединения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ind w:left="426" w:right="556" w:hanging="426"/>
        <w:jc w:val="both"/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онимать биохимические процессы в основных патологических состояниях и генетически обусловленных заболеваниях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ind w:left="426" w:right="152" w:hanging="426"/>
        <w:jc w:val="both"/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нтерпретировать результаты конкретных методов молекулярно-генетической диагностики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ind w:left="426" w:right="152" w:hanging="426"/>
        <w:jc w:val="both"/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онимать роль соответствующих факторов риска заболеваний для принятия решений с целью их предотвращения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ind w:left="426" w:right="173" w:hanging="426"/>
        <w:jc w:val="both"/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бъединить знания о генетике человека, иммунном ответе, биохимических процессах и взаимодействии микро- и макроорганизмов в целях диагностики и индивидуального лечения патологии человека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ind w:left="426" w:right="156" w:hanging="426"/>
        <w:jc w:val="both"/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З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нать фармакокинетические параметры, механизмы абсорбции и биотрансформации лекарственных средств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ind w:left="426" w:right="167" w:hanging="426"/>
        <w:jc w:val="both"/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рименять знания фармакодинамики и механизмов действия препаратов при основных патологических процессах (влияющих на кислотно-основное состояние, гемостаз и кроветворение, воспаление, инфекционный процесс, аллергию, аутоиммунитет, онкопроцесс). Знайте виды нежелательных побочных реакций и понимайте возможности их коррекции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ind w:left="426" w:right="151" w:hanging="426"/>
        <w:jc w:val="both"/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П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родемонстрировать способность выявлять пробелы в обучении и разрабатывать стратегии для улучшения собственных знаний и навыков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ind w:left="426" w:right="157" w:hanging="426"/>
        <w:jc w:val="both"/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Э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ффективно общаться с другими студентами и преподавателями относительно медицинской и научной информации, четко формулировать их мнения при обсуждении и эффективно работать в качестве члена команды</w:t>
      </w:r>
    </w:p>
    <w:p w:rsidR="00000000" w:rsidDel="00000000" w:rsidP="00000000" w:rsidRDefault="00000000" w:rsidRPr="00000000" w14:paraId="00000016">
      <w:pPr>
        <w:spacing w:before="21" w:lineRule="auto"/>
        <w:ind w:right="157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left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 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МЕДИЦИНСКАЯ ГЕНЕТИКА</w:t>
      </w:r>
    </w:p>
    <w:p w:rsidR="00000000" w:rsidDel="00000000" w:rsidP="00000000" w:rsidRDefault="00000000" w:rsidRPr="00000000" w14:paraId="00000018">
      <w:pPr>
        <w:jc w:val="left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(</w:t>
      </w:r>
      <w:r w:rsidDel="00000000" w:rsidR="00000000" w:rsidRPr="00000000">
        <w:rPr>
          <w:b w:val="1"/>
          <w:highlight w:val="white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ECTS)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Утвержденная форма итогового экзамена - письменный экзамен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16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highlight w:val="white"/>
          <w:rtl w:val="0"/>
        </w:rPr>
        <w:t xml:space="preserve">Темы, включенные в итоговый экзамен: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7"/>
        </w:numPr>
        <w:spacing w:after="0" w:afterAutospacing="0" w:before="3" w:lineRule="auto"/>
        <w:ind w:left="283.46456692913375" w:right="173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Введение в медицинскую генетику. Хромосомные болезни.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 (синдром Дауна, синдромы Патау, синдром Эдвардса, синдром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“кошачьего крика”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7"/>
        </w:numPr>
        <w:spacing w:after="0" w:afterAutospacing="0" w:before="0" w:beforeAutospacing="0" w:lineRule="auto"/>
        <w:ind w:left="283.46456692913375" w:right="154" w:hanging="360"/>
        <w:jc w:val="both"/>
        <w:rPr>
          <w:rFonts w:ascii="Times New Roman" w:cs="Times New Roman" w:eastAsia="Times New Roman" w:hAnsi="Times New Roman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Нарушения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полов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ых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 хромосом (трисомия-X, Y-дисомия, синдром Клайнфельтера и синдром Тернера). Кратк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ий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обзор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хромосомных болезней</w:t>
      </w:r>
      <w:r w:rsidDel="00000000" w:rsidR="00000000" w:rsidRPr="00000000">
        <w:rPr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spacing w:before="0" w:beforeAutospacing="0" w:lineRule="auto"/>
        <w:ind w:left="283.46456692913375" w:right="175" w:hanging="360"/>
        <w:jc w:val="both"/>
        <w:rPr>
          <w:rFonts w:ascii="Times New Roman" w:cs="Times New Roman" w:eastAsia="Times New Roman" w:hAnsi="Times New Roman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Классические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менделирующие заболевания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: аутосомн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ое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наследование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(фенилкетонурия, галактоземия, алкаптонурия, фруктозурия, муковисцидоз, синдром Марфана, ахондроплазия, синдром Вильсона-Коновалова, гипертрихоз).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ind w:left="283.46456692913375" w:right="177" w:hanging="360"/>
        <w:jc w:val="both"/>
        <w:rPr>
          <w:rFonts w:ascii="Times New Roman" w:cs="Times New Roman" w:eastAsia="Times New Roman" w:hAnsi="Times New Roman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Классические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менделирующие заболевания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: наслед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ование,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 сцепленн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ое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 с полом (гемофилия, дальтонизм, ихтиоз, 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highlight w:val="white"/>
          <w:rtl w:val="0"/>
        </w:rPr>
        <w:t xml:space="preserve">синдром Леш–Нояна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, мышечная дистрофия Дюшенна, витаминно-резистентный рахит)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ind w:left="283.46456692913375" w:right="177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Био</w:t>
      </w:r>
      <w:r w:rsidDel="00000000" w:rsidR="00000000" w:rsidRPr="00000000">
        <w:rPr>
          <w:highlight w:val="white"/>
          <w:rtl w:val="0"/>
        </w:rPr>
        <w:t xml:space="preserve">химические основы наследственных нарушений обмена веществ</w:t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spacing w:after="0" w:afterAutospacing="0"/>
        <w:ind w:left="283.46456692913375" w:right="177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Био</w:t>
      </w:r>
      <w:r w:rsidDel="00000000" w:rsidR="00000000" w:rsidRPr="00000000">
        <w:rPr>
          <w:rtl w:val="0"/>
        </w:rPr>
        <w:t xml:space="preserve">химические нарушения при энзимопатии липидного обмена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spacing w:after="0" w:afterAutospacing="0" w:before="0" w:beforeAutospacing="0" w:lineRule="auto"/>
        <w:ind w:left="283.46456692913375" w:right="163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Неменделирующие генетические заболевания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 (синдром Прадера-Вилли, синдром Ангельмана , болезнь Хантингтона)</w:t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spacing w:after="0" w:afterAutospacing="0" w:before="0" w:beforeAutospacing="0" w:lineRule="auto"/>
        <w:ind w:left="283.46456692913375" w:right="163" w:hanging="360"/>
        <w:jc w:val="both"/>
        <w:rPr>
          <w:rFonts w:ascii="Times New Roman" w:cs="Times New Roman" w:eastAsia="Times New Roman" w:hAnsi="Times New Roman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Основы популяционной генетики</w:t>
      </w:r>
    </w:p>
    <w:p w:rsidR="00000000" w:rsidDel="00000000" w:rsidP="00000000" w:rsidRDefault="00000000" w:rsidRPr="00000000" w14:paraId="00000025">
      <w:pPr>
        <w:numPr>
          <w:ilvl w:val="0"/>
          <w:numId w:val="7"/>
        </w:numPr>
        <w:spacing w:after="0" w:afterAutospacing="0" w:before="0" w:beforeAutospacing="0" w:lineRule="auto"/>
        <w:ind w:left="283.46456692913375" w:right="163" w:hanging="360"/>
        <w:jc w:val="both"/>
        <w:rPr>
          <w:highlight w:val="white"/>
          <w:u w:val="none"/>
        </w:rPr>
      </w:pPr>
      <w:r w:rsidDel="00000000" w:rsidR="00000000" w:rsidRPr="00000000">
        <w:rPr>
          <w:highlight w:val="white"/>
          <w:rtl w:val="0"/>
        </w:rPr>
        <w:t xml:space="preserve">Фармакогенетика</w:t>
      </w:r>
    </w:p>
    <w:p w:rsidR="00000000" w:rsidDel="00000000" w:rsidP="00000000" w:rsidRDefault="00000000" w:rsidRPr="00000000" w14:paraId="00000026">
      <w:pPr>
        <w:numPr>
          <w:ilvl w:val="0"/>
          <w:numId w:val="7"/>
        </w:numPr>
        <w:spacing w:after="0" w:afterAutospacing="0" w:before="0" w:beforeAutospacing="0" w:lineRule="auto"/>
        <w:ind w:left="283.46456692913375" w:right="163" w:hanging="360"/>
        <w:jc w:val="both"/>
        <w:rPr>
          <w:rFonts w:ascii="Times New Roman" w:cs="Times New Roman" w:eastAsia="Times New Roman" w:hAnsi="Times New Roman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Полигенные многофакторные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заболевания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 (Сахарный диабет, шизофрения, семейная гиперхолестеринемия, артериальная гипертензия)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7"/>
        </w:numPr>
        <w:spacing w:after="0" w:afterAutospacing="0" w:before="0" w:beforeAutospacing="0" w:lineRule="auto"/>
        <w:ind w:left="283.46456692913375" w:right="163" w:hanging="360"/>
        <w:jc w:val="both"/>
        <w:rPr>
          <w:rFonts w:ascii="Times New Roman" w:cs="Times New Roman" w:eastAsia="Times New Roman" w:hAnsi="Times New Roman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Онкогенетика и геномика (рак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молочной железы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).</w:t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spacing w:before="0" w:beforeAutospacing="0" w:lineRule="auto"/>
        <w:ind w:left="283.46456692913375" w:right="163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М</w:t>
      </w:r>
      <w:r w:rsidDel="00000000" w:rsidR="00000000" w:rsidRPr="00000000">
        <w:rPr>
          <w:rtl w:val="0"/>
        </w:rPr>
        <w:t xml:space="preserve">етаболические аспекты онкологических заболеваний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ind w:left="283.46456692913375" w:right="185" w:hanging="360"/>
        <w:jc w:val="both"/>
        <w:rPr>
          <w:rFonts w:ascii="Times New Roman" w:cs="Times New Roman" w:eastAsia="Times New Roman" w:hAnsi="Times New Roman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Полигенные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болезни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: пороки развития (дефект нервной трубки, расщелина губы и неба, дисплазия бедра).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ind w:left="283.46456692913375" w:right="185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Г</w:t>
      </w:r>
      <w:r w:rsidDel="00000000" w:rsidR="00000000" w:rsidRPr="00000000">
        <w:rPr>
          <w:rtl w:val="0"/>
        </w:rPr>
        <w:t xml:space="preserve">енетическое консультирование. Генетическое исследование, профилактика и лечение.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-425" w:right="185" w:firstLine="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right="349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Ожидаемые результаты после окончания изучения дисциплины:</w:t>
      </w:r>
    </w:p>
    <w:p w:rsidR="00000000" w:rsidDel="00000000" w:rsidP="00000000" w:rsidRDefault="00000000" w:rsidRPr="00000000" w14:paraId="0000002D">
      <w:pPr>
        <w:ind w:right="34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Применять знания о молекулярных и генетических аспектах генетически детерминированных заболеваний (хромосомных, моногенных, полигенных); понимать принципы генетической диагностики и медико-генетического консультирования </w:t>
      </w:r>
    </w:p>
    <w:p w:rsidR="00000000" w:rsidDel="00000000" w:rsidP="00000000" w:rsidRDefault="00000000" w:rsidRPr="00000000" w14:paraId="0000002E">
      <w:pPr>
        <w:ind w:right="34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Применять знания молекулярно-генетических, биохимических механизмов реакции организма на лекарства и биологически активные соединения</w:t>
      </w:r>
    </w:p>
    <w:p w:rsidR="00000000" w:rsidDel="00000000" w:rsidP="00000000" w:rsidRDefault="00000000" w:rsidRPr="00000000" w14:paraId="0000002F">
      <w:pPr>
        <w:ind w:right="34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Понимать биохимические процессы в основных патологических состояниях и генетически обусловленных заболеваниях</w:t>
      </w:r>
    </w:p>
    <w:p w:rsidR="00000000" w:rsidDel="00000000" w:rsidP="00000000" w:rsidRDefault="00000000" w:rsidRPr="00000000" w14:paraId="00000030">
      <w:pPr>
        <w:ind w:right="34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b w:val="1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Примерная типология экзаменационных заданий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2353" w:hanging="2353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Кейс.</w:t>
      </w:r>
    </w:p>
    <w:p w:rsidR="00000000" w:rsidDel="00000000" w:rsidP="00000000" w:rsidRDefault="00000000" w:rsidRPr="00000000" w14:paraId="00000034">
      <w:pPr>
        <w:ind w:left="2353" w:hanging="2353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</w:rPr>
        <w:drawing>
          <wp:inline distB="114300" distT="114300" distL="114300" distR="114300">
            <wp:extent cx="3395663" cy="248912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95663" cy="24891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П.С., 30-летняя здоровая женщина, была на 27 неделе беременности первым ребенком. Ультразвуковое исследование плода на 26 неделе беременности выявило плод женского пола с макроцефалией и ризомелией (укорочением проксимальных сегментов конечностей). Супругу П.С. было 45 лет, он был здоров; у него было трое здоровых детей от предыдущих отношений. Ни один из родителей не имел семейной истории дисплазии скелета, врожденных дефектов или генетических нарушений. Акушер объяснил родителям, что у их плода черты ахондроплазии. Девочку родили на сроке 38 недель путем кесарева сечения. У нее были физические и рентгенологические признаки ахондроплазии, включая лобные выступы, мегалэнцефалию, гипоплазию средней зоны лица, поясничный кифоз, ограниченное разгибание локтей, ризомелию, брахидактилию и гипотонию. В соответствии с ее физическими особенностями, тестирование ДНК выявило мутацию 1138G&gt;A, приводящую к замене глицина на аргинин в кодоне 380 (Giy380Arg) в гене рецептора 3 фактора роста фибробластов (FGFR: JJ.)</w:t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Типы вопросов. 5 из них на выбор (2 из уровня I, 2 из уровня II, 1 из уровня 3):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Установите диагноз. Объясните, к какой группе генетических заболеваний относится этот случай? (III уровень)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Опишите (составьте) генеалогическое древо пробанда? (II уровень)</w:t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Каковы основные особенности наследования этой генетической группы болезней? (I уровень)</w:t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Объясните основные генетические данные/символы, приведенные для этого заболевания в OMIM (I уровень).</w:t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Предложите и объясните стратегию оценки риска для этой семьи/пробанда/братьев и сестер ... (III уровень)</w:t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Напишите об основных причинах, приводящих к этому заболеванию? (I уровень)</w:t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Какова эпидемиология этого заболевания? Уровень распространенности? (I уровень)</w:t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Какие генетические варианты этого заболевания вам известны? (I уровень)</w:t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 Объясните вероятный механизм мутаций в этом случае/в этом заболевании в целом/в этом типе заболеваний… (II уровень)</w:t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 Какие фенотипические формы этого заболевания известны? Объясните причины фенотипического разнообразия. (I уровень)</w:t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 Предложите генетические механизмы, влияющие на фенотип пробанда, и объясните ваши мысли? (III уровень)</w:t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 Предложите методы диагностики/профилактики/лечения этого случая/ этого заболевания в целом/этого типа заболеваний и объясните свою стратегию (III уровень)</w:t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13. Назовите другие расстройства, которые характеризуются такой степенью распространенности. Какие типы мутаций связаны с этими расстройствами? (III уровень)</w:t>
      </w:r>
    </w:p>
    <w:p w:rsidR="00000000" w:rsidDel="00000000" w:rsidP="00000000" w:rsidRDefault="00000000" w:rsidRPr="00000000" w14:paraId="0000004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 Сравните и сопоставьте патологические механизмы этого заболевания в целом/этого типа заболеваний и соотнесите их с клинической картиной (III уровень).</w:t>
      </w:r>
    </w:p>
    <w:p w:rsidR="00000000" w:rsidDel="00000000" w:rsidP="00000000" w:rsidRDefault="00000000" w:rsidRPr="00000000" w14:paraId="0000004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 Объясните, как фенотипическая тяжесть этого заболевания в целом/ этого типа заболеваний… коррелирует с типом мутации (II уровень).</w:t>
      </w:r>
    </w:p>
    <w:p w:rsidR="00000000" w:rsidDel="00000000" w:rsidP="00000000" w:rsidRDefault="00000000" w:rsidRPr="00000000" w14:paraId="0000004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 Обсудите возможные этические и правовые вопросы, касающиеся диагностики/профилактики/лечения этого случая/этого заболевания в целом/этого типа заболеваний ... (II уровень)</w:t>
      </w:r>
    </w:p>
    <w:p w:rsidR="00000000" w:rsidDel="00000000" w:rsidP="00000000" w:rsidRDefault="00000000" w:rsidRPr="00000000" w14:paraId="00000049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 Обсудите возможные религиозные, культурные, социальные и этические убеждения и понимания, которые могут повлиять на решения, которые примет пациент/семья (II уровень).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2353" w:hanging="2353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right="104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right="95"/>
        <w:jc w:val="left"/>
        <w:rPr>
          <w:rFonts w:ascii="Times New Roman" w:cs="Times New Roman" w:eastAsia="Times New Roman" w:hAnsi="Times New Roman"/>
          <w:b w:val="1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highlight w:val="white"/>
          <w:rtl w:val="0"/>
        </w:rPr>
        <w:t xml:space="preserve">ОБЩАЯ ФАРМАКОЛОГИЯ</w:t>
      </w:r>
    </w:p>
    <w:p w:rsidR="00000000" w:rsidDel="00000000" w:rsidP="00000000" w:rsidRDefault="00000000" w:rsidRPr="00000000" w14:paraId="0000004D">
      <w:pPr>
        <w:ind w:right="-46"/>
        <w:jc w:val="left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(</w:t>
      </w:r>
      <w:r w:rsidDel="00000000" w:rsidR="00000000" w:rsidRPr="00000000">
        <w:rPr>
          <w:b w:val="1"/>
          <w:highlight w:val="white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ECTS)</w:t>
      </w:r>
    </w:p>
    <w:p w:rsidR="00000000" w:rsidDel="00000000" w:rsidP="00000000" w:rsidRDefault="00000000" w:rsidRPr="00000000" w14:paraId="0000004E">
      <w:pPr>
        <w:ind w:right="1043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8" w:firstLine="0"/>
        <w:rPr>
          <w:rFonts w:ascii="Times New Roman" w:cs="Times New Roman" w:eastAsia="Times New Roman" w:hAnsi="Times New Roman"/>
          <w:b w:val="1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highlight w:val="white"/>
          <w:rtl w:val="0"/>
        </w:rPr>
        <w:t xml:space="preserve">Утвержденная форма итогового экзамена - письменный экзамен</w:t>
      </w:r>
    </w:p>
    <w:p w:rsidR="00000000" w:rsidDel="00000000" w:rsidP="00000000" w:rsidRDefault="00000000" w:rsidRPr="00000000" w14:paraId="00000050">
      <w:pPr>
        <w:ind w:left="8" w:firstLine="0"/>
        <w:rPr>
          <w:rFonts w:ascii="Times New Roman" w:cs="Times New Roman" w:eastAsia="Times New Roman" w:hAnsi="Times New Roman"/>
          <w:b w:val="1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highlight w:val="white"/>
          <w:rtl w:val="0"/>
        </w:rPr>
        <w:t xml:space="preserve">Темы, включенные в итоговый экзамен</w:t>
      </w:r>
    </w:p>
    <w:p w:rsidR="00000000" w:rsidDel="00000000" w:rsidP="00000000" w:rsidRDefault="00000000" w:rsidRPr="00000000" w14:paraId="00000051">
      <w:pPr>
        <w:ind w:left="8" w:firstLine="0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Введение в фармакологию. Рецептура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spacing w:after="0" w:before="0" w:lineRule="auto"/>
        <w:ind w:left="720" w:hanging="360"/>
        <w:rPr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Фармакокинетика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Фармакодинамика.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ПНС. Холинергические препараты.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Холинергические препараты. Холиноблокаторы. Реактиваторы холинэстеразы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spacing w:after="0" w:before="0" w:lineRule="auto"/>
        <w:ind w:left="720" w:hanging="360"/>
        <w:rPr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ПНС. Адренергические препараты.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6"/>
        </w:numPr>
        <w:spacing w:after="0" w:before="0" w:lineRule="auto"/>
        <w:ind w:left="720" w:hanging="360"/>
        <w:rPr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Адреноблокаторы. Антагонисты альфа и бета-адренорецепторов Симпатолитики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6"/>
        </w:numPr>
        <w:spacing w:after="0" w:before="0" w:lineRule="auto"/>
        <w:ind w:left="720" w:hanging="360"/>
        <w:rPr>
          <w:highlight w:val="white"/>
          <w:u w:val="none"/>
        </w:rPr>
      </w:pPr>
      <w:r w:rsidDel="00000000" w:rsidR="00000000" w:rsidRPr="00000000">
        <w:rPr>
          <w:highlight w:val="white"/>
          <w:rtl w:val="0"/>
        </w:rPr>
        <w:t xml:space="preserve">Снотворные препараты.</w:t>
      </w:r>
    </w:p>
    <w:p w:rsidR="00000000" w:rsidDel="00000000" w:rsidP="00000000" w:rsidRDefault="00000000" w:rsidRPr="00000000" w14:paraId="0000005A">
      <w:pPr>
        <w:numPr>
          <w:ilvl w:val="0"/>
          <w:numId w:val="6"/>
        </w:numPr>
        <w:spacing w:after="0" w:before="0" w:lineRule="auto"/>
        <w:ind w:left="720" w:hanging="360"/>
        <w:rPr>
          <w:highlight w:val="white"/>
          <w:u w:val="none"/>
        </w:rPr>
      </w:pPr>
      <w:r w:rsidDel="00000000" w:rsidR="00000000" w:rsidRPr="00000000">
        <w:rPr>
          <w:highlight w:val="white"/>
          <w:rtl w:val="0"/>
        </w:rPr>
        <w:t xml:space="preserve">Местные анестетики.</w:t>
      </w:r>
    </w:p>
    <w:p w:rsidR="00000000" w:rsidDel="00000000" w:rsidP="00000000" w:rsidRDefault="00000000" w:rsidRPr="00000000" w14:paraId="0000005B">
      <w:pPr>
        <w:numPr>
          <w:ilvl w:val="0"/>
          <w:numId w:val="6"/>
        </w:numPr>
        <w:spacing w:after="0" w:before="0" w:lineRule="auto"/>
        <w:ind w:left="720" w:hanging="360"/>
        <w:rPr>
          <w:highlight w:val="white"/>
          <w:u w:val="none"/>
        </w:rPr>
      </w:pPr>
      <w:r w:rsidDel="00000000" w:rsidR="00000000" w:rsidRPr="00000000">
        <w:rPr>
          <w:highlight w:val="white"/>
          <w:rtl w:val="0"/>
        </w:rPr>
        <w:t xml:space="preserve">Противоаллергические препараты. Cтероидные противовоспалительные средства.</w:t>
      </w:r>
    </w:p>
    <w:p w:rsidR="00000000" w:rsidDel="00000000" w:rsidP="00000000" w:rsidRDefault="00000000" w:rsidRPr="00000000" w14:paraId="0000005C">
      <w:pPr>
        <w:numPr>
          <w:ilvl w:val="0"/>
          <w:numId w:val="6"/>
        </w:numPr>
        <w:spacing w:after="0" w:before="0" w:lineRule="auto"/>
        <w:ind w:left="720" w:hanging="360"/>
        <w:rPr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Антиангинальные препараты,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Антигипертензивные средства.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6"/>
        </w:numPr>
        <w:spacing w:after="0" w:before="0" w:lineRule="auto"/>
        <w:ind w:left="720" w:hanging="360"/>
        <w:rPr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Фармакология системы кроветворения и гемостаза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6"/>
        </w:numPr>
        <w:spacing w:after="0" w:before="0" w:lineRule="auto"/>
        <w:ind w:left="720" w:hanging="360"/>
        <w:rPr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Сахарный диабет. Противодиабетические средства.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6"/>
        </w:numPr>
        <w:spacing w:after="0" w:before="0" w:lineRule="auto"/>
        <w:ind w:left="720" w:hanging="360"/>
        <w:rPr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Противовоспалительные препараты. Нестероидные противовоспалительные средства.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6"/>
        </w:numPr>
        <w:spacing w:after="0" w:before="0" w:lineRule="auto"/>
        <w:ind w:left="720" w:hanging="360"/>
        <w:rPr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Опиоидная система. Опиоидные антагонисты. Лекарственная зависимость.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6"/>
        </w:numPr>
        <w:spacing w:after="0" w:before="0" w:lineRule="auto"/>
        <w:ind w:left="720" w:hanging="360"/>
        <w:rPr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Антибиотики. Бета-лактамные антибиотики.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Антибиотики. Макролиды, Тетрациклины, Аминогликозиды. Пептидные антибиотики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6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Нитроимидазолы и нитрофураны. фторхинолоны. Сульфаниламиды. Триметоприм. Линезолид.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Противотуберкулезные средства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6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Противовирусные препараты. Лечение ВИЧ-инфекции.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Противогрибковые препараты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0" w:firstLine="0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720" w:firstLine="0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highlight w:val="white"/>
          <w:rtl w:val="0"/>
        </w:rPr>
        <w:t xml:space="preserve">Список препаратов для повторения перед заключительным экзаменом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72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1. Адреналин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2. Норадреналин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3. Эналаприл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4. Ацетилсалицил қышқылы.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5. Метопролол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6. Лозартан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7. Гидрохлоротиазид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8. Актрапид инсулині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9. Инсулин NPH</w:t>
      </w:r>
    </w:p>
    <w:p w:rsidR="00000000" w:rsidDel="00000000" w:rsidP="00000000" w:rsidRDefault="00000000" w:rsidRPr="00000000" w14:paraId="00000070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10. Флутиказон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11. Салбутамол (Альбутерол)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12. Амоксициллин/клавуланат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13. Кортизол (гидрокортизон)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14. Спиронолактон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15. Метформин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16. Неостигмин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17. Дексаметазон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18. Гепарин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19. Варфарин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20. Фуросемид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21. Цефтриаксон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22. Празозин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23. Нифедипин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24. Изониазид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25. Стрептомицин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26. Метронидазол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27. Ципрофлоксацин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28. Азитромицин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29. Гликлазид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30. Флуконазол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31. Ацикловир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32. Амфотерицин В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33. Рифампицин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34. Фуразолидон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35. Ко-тримоксазол.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36. Пиоглитазон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37. Морфин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38. Диклофенак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39. Ривароксабан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40. Нитроглицерин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41. Доксициклин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42. Ванкомицин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43 Интерферон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44. Лидокаин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45. Фенобарбитал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46. Золпидем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47. Лоратадин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48. Флутиказон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49. Недокромил натрия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50. Супрастин</w:t>
      </w:r>
    </w:p>
    <w:p w:rsidR="00000000" w:rsidDel="00000000" w:rsidP="00000000" w:rsidRDefault="00000000" w:rsidRPr="00000000" w14:paraId="00000099">
      <w:pPr>
        <w:rPr/>
        <w:sectPr>
          <w:headerReference r:id="rId8" w:type="default"/>
          <w:pgSz w:h="16838" w:w="11906" w:orient="portrait"/>
          <w:pgMar w:bottom="1440" w:top="1440" w:left="1440" w:right="144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По окончании этого курса студенты приобретут следующие навыки:</w:t>
      </w:r>
    </w:p>
    <w:p w:rsidR="00000000" w:rsidDel="00000000" w:rsidP="00000000" w:rsidRDefault="00000000" w:rsidRPr="00000000" w14:paraId="0000009B">
      <w:pPr>
        <w:numPr>
          <w:ilvl w:val="0"/>
          <w:numId w:val="4"/>
        </w:numPr>
        <w:ind w:left="284" w:hanging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знание фармакокинетических параметров, механизмов всасывания и биотрансформации лекарств; </w:t>
      </w:r>
    </w:p>
    <w:p w:rsidR="00000000" w:rsidDel="00000000" w:rsidP="00000000" w:rsidRDefault="00000000" w:rsidRPr="00000000" w14:paraId="0000009C">
      <w:pPr>
        <w:numPr>
          <w:ilvl w:val="0"/>
          <w:numId w:val="4"/>
        </w:numPr>
        <w:ind w:left="284" w:hanging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применение знаний о фармакодинамике и механизмах действия лекарств при основных патологических процессах (влияющие на гемостаз и кроветворение, воспаление, инфекционный процесс, артериальная гипертензия, гипергликемия, артериальная гипотензия). Знать виды побочных реакций и понимать возможность их коррекции; </w:t>
      </w:r>
    </w:p>
    <w:p w:rsidR="00000000" w:rsidDel="00000000" w:rsidP="00000000" w:rsidRDefault="00000000" w:rsidRPr="00000000" w14:paraId="0000009D">
      <w:pPr>
        <w:numPr>
          <w:ilvl w:val="0"/>
          <w:numId w:val="4"/>
        </w:numPr>
        <w:ind w:left="284" w:hanging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продемонстрировать способность выявлять пробелы в обучении и разрабатывать стратегии для улучшения своих знаний и навыков;</w:t>
      </w:r>
    </w:p>
    <w:p w:rsidR="00000000" w:rsidDel="00000000" w:rsidP="00000000" w:rsidRDefault="00000000" w:rsidRPr="00000000" w14:paraId="0000009E">
      <w:pPr>
        <w:ind w:left="284" w:right="1925" w:hanging="284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ind w:left="18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ind w:left="17" w:right="-24" w:firstLine="3.0000000000000004"/>
        <w:jc w:val="center"/>
        <w:rPr>
          <w:rFonts w:ascii="Times New Roman" w:cs="Times New Roman" w:eastAsia="Times New Roman" w:hAnsi="Times New Roman"/>
          <w:b w:val="1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highlight w:val="white"/>
          <w:rtl w:val="0"/>
        </w:rPr>
        <w:t xml:space="preserve">Примерная типология экзаменационных заданий</w:t>
      </w:r>
    </w:p>
    <w:p w:rsidR="00000000" w:rsidDel="00000000" w:rsidP="00000000" w:rsidRDefault="00000000" w:rsidRPr="00000000" w14:paraId="000000A1">
      <w:pPr>
        <w:ind w:left="17" w:right="1925" w:firstLine="3.0000000000000004"/>
        <w:jc w:val="center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ind w:left="6" w:right="419" w:firstLine="2.000000000000001"/>
        <w:jc w:val="both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Часть1.</w:t>
      </w:r>
    </w:p>
    <w:p w:rsidR="00000000" w:rsidDel="00000000" w:rsidP="00000000" w:rsidRDefault="00000000" w:rsidRPr="00000000" w14:paraId="000000A3">
      <w:pPr>
        <w:ind w:left="6" w:right="419" w:firstLine="2.000000000000001"/>
        <w:jc w:val="both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Ситуационная задача: </w:t>
      </w:r>
    </w:p>
    <w:p w:rsidR="00000000" w:rsidDel="00000000" w:rsidP="00000000" w:rsidRDefault="00000000" w:rsidRPr="00000000" w14:paraId="000000A4">
      <w:pPr>
        <w:ind w:left="16" w:firstLine="0"/>
        <w:jc w:val="both"/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Пациент 75 лет, у которого повышенное артериальное давление успешно контролировалось приемом петлевых диуретиков, недавно обратился с жалобами на мышечную слабость, парестезии, диспептические расстройства, тахикардию. Из-за этих побочных эффектов он не может справляться со своей повседневной работой.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ind w:left="16" w:firstLine="0"/>
        <w:rPr>
          <w:rFonts w:ascii="Times New Roman" w:cs="Times New Roman" w:eastAsia="Times New Roman" w:hAnsi="Times New Roman"/>
          <w:b w:val="1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ind w:left="16" w:firstLine="0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highlight w:val="white"/>
          <w:rtl w:val="0"/>
        </w:rPr>
        <w:t xml:space="preserve">Типы вопросов.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numPr>
          <w:ilvl w:val="0"/>
          <w:numId w:val="3"/>
        </w:numPr>
        <w:ind w:left="426" w:hanging="426"/>
        <w:jc w:val="both"/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Расскажите о механизме действия препарата.</w:t>
      </w:r>
    </w:p>
    <w:p w:rsidR="00000000" w:rsidDel="00000000" w:rsidP="00000000" w:rsidRDefault="00000000" w:rsidRPr="00000000" w14:paraId="000000A8">
      <w:pPr>
        <w:numPr>
          <w:ilvl w:val="0"/>
          <w:numId w:val="3"/>
        </w:numPr>
        <w:ind w:left="426" w:hanging="426"/>
        <w:jc w:val="both"/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Объясните механизм побочного действия лекарств.</w:t>
      </w:r>
    </w:p>
    <w:p w:rsidR="00000000" w:rsidDel="00000000" w:rsidP="00000000" w:rsidRDefault="00000000" w:rsidRPr="00000000" w14:paraId="000000A9">
      <w:pPr>
        <w:numPr>
          <w:ilvl w:val="0"/>
          <w:numId w:val="3"/>
        </w:numPr>
        <w:ind w:left="426" w:hanging="426"/>
        <w:jc w:val="both"/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Объясните механизм взаимодействия лекарств.</w:t>
      </w:r>
    </w:p>
    <w:p w:rsidR="00000000" w:rsidDel="00000000" w:rsidP="00000000" w:rsidRDefault="00000000" w:rsidRPr="00000000" w14:paraId="000000AA">
      <w:pPr>
        <w:numPr>
          <w:ilvl w:val="0"/>
          <w:numId w:val="3"/>
        </w:numPr>
        <w:ind w:left="426" w:right="429" w:hanging="426"/>
        <w:jc w:val="both"/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Объясните фармакологическую основу перехода с одного препарата на другой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numPr>
          <w:ilvl w:val="0"/>
          <w:numId w:val="3"/>
        </w:numPr>
        <w:ind w:left="426" w:right="429" w:hanging="426"/>
        <w:jc w:val="both"/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Сравните механизм действия двух препаратов с аналогичным эффектом.</w:t>
      </w:r>
    </w:p>
    <w:p w:rsidR="00000000" w:rsidDel="00000000" w:rsidP="00000000" w:rsidRDefault="00000000" w:rsidRPr="00000000" w14:paraId="000000AC">
      <w:pPr>
        <w:numPr>
          <w:ilvl w:val="0"/>
          <w:numId w:val="3"/>
        </w:numPr>
        <w:ind w:left="426" w:right="429" w:hanging="426"/>
        <w:jc w:val="both"/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Предложите агонист / антагонист гормона.</w:t>
      </w:r>
    </w:p>
    <w:p w:rsidR="00000000" w:rsidDel="00000000" w:rsidP="00000000" w:rsidRDefault="00000000" w:rsidRPr="00000000" w14:paraId="000000AD">
      <w:pPr>
        <w:numPr>
          <w:ilvl w:val="0"/>
          <w:numId w:val="3"/>
        </w:numPr>
        <w:ind w:left="426" w:right="171" w:hanging="426"/>
        <w:jc w:val="both"/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Объясните механизм действия гормона и то, как лекарства могут на него повлиять.</w:t>
      </w:r>
    </w:p>
    <w:p w:rsidR="00000000" w:rsidDel="00000000" w:rsidP="00000000" w:rsidRDefault="00000000" w:rsidRPr="00000000" w14:paraId="000000AE">
      <w:pPr>
        <w:numPr>
          <w:ilvl w:val="0"/>
          <w:numId w:val="3"/>
        </w:numPr>
        <w:ind w:left="426" w:hanging="426"/>
        <w:jc w:val="both"/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Опишите препарат - частичный агонист.</w:t>
      </w:r>
    </w:p>
    <w:p w:rsidR="00000000" w:rsidDel="00000000" w:rsidP="00000000" w:rsidRDefault="00000000" w:rsidRPr="00000000" w14:paraId="000000AF">
      <w:pPr>
        <w:numPr>
          <w:ilvl w:val="0"/>
          <w:numId w:val="3"/>
        </w:numPr>
        <w:ind w:left="426" w:right="194" w:hanging="426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Перечислите дополнительные лекарства, которые могут помочь в этом состоянии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numPr>
          <w:ilvl w:val="0"/>
          <w:numId w:val="3"/>
        </w:numPr>
        <w:ind w:left="426" w:right="194" w:hanging="426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Объясните, как побочные эффекты связаны с механизмом действия лекарства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B1">
      <w:pPr>
        <w:numPr>
          <w:ilvl w:val="0"/>
          <w:numId w:val="3"/>
        </w:numPr>
        <w:ind w:left="426" w:right="194" w:hanging="426"/>
        <w:jc w:val="both"/>
        <w:rPr>
          <w:highlight w:val="white"/>
          <w:u w:val="none"/>
        </w:rPr>
      </w:pPr>
      <w:r w:rsidDel="00000000" w:rsidR="00000000" w:rsidRPr="00000000">
        <w:rPr>
          <w:highlight w:val="white"/>
          <w:rtl w:val="0"/>
        </w:rPr>
        <w:t xml:space="preserve">Назовите препарат.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Часть 2. Написать рецепт</w:t>
      </w:r>
    </w:p>
    <w:p w:rsidR="00000000" w:rsidDel="00000000" w:rsidP="00000000" w:rsidRDefault="00000000" w:rsidRPr="00000000" w14:paraId="000000B4">
      <w:pPr>
        <w:numPr>
          <w:ilvl w:val="0"/>
          <w:numId w:val="8"/>
        </w:numPr>
        <w:ind w:left="720" w:right="1663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Эналаприл</w:t>
      </w:r>
    </w:p>
    <w:p w:rsidR="00000000" w:rsidDel="00000000" w:rsidP="00000000" w:rsidRDefault="00000000" w:rsidRPr="00000000" w14:paraId="000000B5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Амоксициллин / клавуланат </w:t>
      </w:r>
    </w:p>
    <w:p w:rsidR="00000000" w:rsidDel="00000000" w:rsidP="00000000" w:rsidRDefault="00000000" w:rsidRPr="00000000" w14:paraId="000000B6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Адреналин</w:t>
      </w:r>
    </w:p>
    <w:p w:rsidR="00000000" w:rsidDel="00000000" w:rsidP="00000000" w:rsidRDefault="00000000" w:rsidRPr="00000000" w14:paraId="000000B7">
      <w:pPr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ind w:left="16" w:right="100" w:hanging="1.00000000000000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ind w:left="253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 </w:t>
      </w:r>
    </w:p>
    <w:p w:rsidR="00000000" w:rsidDel="00000000" w:rsidP="00000000" w:rsidRDefault="00000000" w:rsidRPr="00000000" w14:paraId="000000BA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ind w:left="18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Инструкции по технологии проведения экзамена “ПИСЬМЕННЫЙ ЭКЗАМЕН:</w:t>
      </w:r>
    </w:p>
    <w:p w:rsidR="00000000" w:rsidDel="00000000" w:rsidP="00000000" w:rsidRDefault="00000000" w:rsidRPr="00000000" w14:paraId="000000BC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ТРАДИЦИОННЫЙ – ОТВЕТЫ НА ВОПРОСЫ”.</w:t>
      </w:r>
    </w:p>
    <w:p w:rsidR="00000000" w:rsidDel="00000000" w:rsidP="00000000" w:rsidRDefault="00000000" w:rsidRPr="00000000" w14:paraId="000000BD">
      <w:pPr>
        <w:ind w:left="18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Проводится оффлайн в аудитории.</w:t>
      </w:r>
    </w:p>
    <w:p w:rsidR="00000000" w:rsidDel="00000000" w:rsidP="00000000" w:rsidRDefault="00000000" w:rsidRPr="00000000" w14:paraId="000000B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Процесс сдачи письменного экзамена студентом предполагает автоматическое создание экзаменационного билета студенту, на который необходимо формировать письменный ответ путем прямого написания текста от руки.</w:t>
      </w:r>
    </w:p>
    <w:p w:rsidR="00000000" w:rsidDel="00000000" w:rsidP="00000000" w:rsidRDefault="00000000" w:rsidRPr="00000000" w14:paraId="000000C0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Инструкции по технологии проведения экзамена</w:t>
      </w:r>
    </w:p>
    <w:p w:rsidR="00000000" w:rsidDel="00000000" w:rsidP="00000000" w:rsidRDefault="00000000" w:rsidRPr="00000000" w14:paraId="000000C1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Длительность экзамена составляет ровно 3 часа.</w:t>
      </w:r>
    </w:p>
    <w:p w:rsidR="00000000" w:rsidDel="00000000" w:rsidP="00000000" w:rsidRDefault="00000000" w:rsidRPr="00000000" w14:paraId="000000C2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Экзамены в письменной форме проводятся согласно утвержденному расписанию.</w:t>
      </w:r>
    </w:p>
    <w:p w:rsidR="00000000" w:rsidDel="00000000" w:rsidP="00000000" w:rsidRDefault="00000000" w:rsidRPr="00000000" w14:paraId="000000C3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Вход обучающимся в аудиторию, где проводится письменный экзамен, разрешается только по документу, удостоверяющему личность (или студенческий билет). Запрещается присутствие лиц, не принимающих участие в процедуре проведения экзаменов.</w:t>
      </w:r>
    </w:p>
    <w:p w:rsidR="00000000" w:rsidDel="00000000" w:rsidP="00000000" w:rsidRDefault="00000000" w:rsidRPr="00000000" w14:paraId="000000C4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Проктор проводит сверку документа, удостоверяющего личность, с ведомостью допуска к экзамену. Студент, имеющий рейтинг-допуск по дисциплине менее 50%, к сдаче письменного экзамена не допускается.</w:t>
      </w:r>
    </w:p>
    <w:p w:rsidR="00000000" w:rsidDel="00000000" w:rsidP="00000000" w:rsidRDefault="00000000" w:rsidRPr="00000000" w14:paraId="000000C5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Запуск в аудиторию осуществляет проктор (по списку называет фамилии и рассаживает по списку).</w:t>
      </w:r>
    </w:p>
    <w:p w:rsidR="00000000" w:rsidDel="00000000" w:rsidP="00000000" w:rsidRDefault="00000000" w:rsidRPr="00000000" w14:paraId="000000C6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Опоздавшие студенты к экзамену не допускаются.</w:t>
      </w:r>
    </w:p>
    <w:p w:rsidR="00000000" w:rsidDel="00000000" w:rsidP="00000000" w:rsidRDefault="00000000" w:rsidRPr="00000000" w14:paraId="000000C7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Проктор выдает каждому обучающемуся лист ответа (при необходимости студент может взять дополнительный лист ответа) и предоставляет возможность студенту выбрать билет по сдаваемой дисциплине (при этом текст билета не должен быть виден студенту).</w:t>
      </w:r>
    </w:p>
    <w:p w:rsidR="00000000" w:rsidDel="00000000" w:rsidP="00000000" w:rsidRDefault="00000000" w:rsidRPr="00000000" w14:paraId="000000C8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Студенты, присутствующие на экзамене, должны расписаться в ведомости допуска.</w:t>
      </w:r>
    </w:p>
    <w:p w:rsidR="00000000" w:rsidDel="00000000" w:rsidP="00000000" w:rsidRDefault="00000000" w:rsidRPr="00000000" w14:paraId="000000C9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Время начала и окончания письменного экзамена фиксируется на доске.</w:t>
      </w:r>
    </w:p>
    <w:p w:rsidR="00000000" w:rsidDel="00000000" w:rsidP="00000000" w:rsidRDefault="00000000" w:rsidRPr="00000000" w14:paraId="000000CA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Во время письменного экзамена вопросы обучающихся по содержанию экзаменационных билетов не рассматриваются.</w:t>
      </w:r>
    </w:p>
    <w:p w:rsidR="00000000" w:rsidDel="00000000" w:rsidP="00000000" w:rsidRDefault="00000000" w:rsidRPr="00000000" w14:paraId="000000CB">
      <w:pPr>
        <w:ind w:left="7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Если обучающийся не соблюдает установленные требования на экзамене: использует шпаргалки, мобильные и другие устройства, допускает дисциплинарные нарушения, мешает своими действиями другим обучающимся, проктор вправе удалить его из аудитории. В этом случае составляется акт о нарушении процедуры экзамена, лист ответов аннулируется путем перечеркивания по диагоналям, в ведомости допуска делается отметка «Удален за нарушение», в ведомости проставляется «0».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C">
      <w:pPr>
        <w:ind w:left="720" w:firstLine="0"/>
        <w:jc w:val="both"/>
        <w:rPr>
          <w:color w:val="202124"/>
          <w:shd w:fill="f8f9fa" w:val="clear"/>
        </w:rPr>
      </w:pPr>
      <w:r w:rsidDel="00000000" w:rsidR="00000000" w:rsidRPr="00000000">
        <w:rPr>
          <w:color w:val="202124"/>
          <w:shd w:fill="f8f9fa" w:val="clear"/>
          <w:rtl w:val="0"/>
        </w:rPr>
        <w:t xml:space="preserve">12. Допускается посещение студентом уборной не чаще 1 раза в час, продолжительностью не более 5 минут. При необходимости частого посещения туалета (например, по состоянию здоровья) студент должен пройти медицинский осмотр, и экзамен засчитывается как отсутствие студента на экзамене.</w:t>
      </w:r>
    </w:p>
    <w:p w:rsidR="00000000" w:rsidDel="00000000" w:rsidP="00000000" w:rsidRDefault="00000000" w:rsidRPr="00000000" w14:paraId="000000CD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</w:t>
      </w: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 завершению экзамена студент должен сдать свой билет и лист ответов.</w:t>
      </w:r>
    </w:p>
    <w:p w:rsidR="00000000" w:rsidDel="00000000" w:rsidP="00000000" w:rsidRDefault="00000000" w:rsidRPr="00000000" w14:paraId="000000CF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D0">
      <w:pPr>
        <w:spacing w:line="27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p w:rsidR="00000000" w:rsidDel="00000000" w:rsidP="00000000" w:rsidRDefault="00000000" w:rsidRPr="00000000" w14:paraId="000000D1">
      <w:pPr>
        <w:ind w:left="253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ind w:left="3188" w:firstLine="0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highlight w:val="white"/>
          <w:rtl w:val="0"/>
        </w:rPr>
        <w:t xml:space="preserve">Шкала качества ответ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ов</w:t>
      </w:r>
    </w:p>
    <w:tbl>
      <w:tblPr>
        <w:tblStyle w:val="Table1"/>
        <w:tblW w:w="9563.0" w:type="dxa"/>
        <w:jc w:val="left"/>
        <w:tblLayout w:type="fixed"/>
        <w:tblLook w:val="0400"/>
      </w:tblPr>
      <w:tblGrid>
        <w:gridCol w:w="1353"/>
        <w:gridCol w:w="6848"/>
        <w:gridCol w:w="1362"/>
        <w:tblGridChange w:id="0">
          <w:tblGrid>
            <w:gridCol w:w="1353"/>
            <w:gridCol w:w="6848"/>
            <w:gridCol w:w="1362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Оценка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Критерии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Шкала, баллы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ind w:left="31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отлично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ind w:left="27" w:firstLine="2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1. все ключевые аспекты включены и представлены логически; 2. высокая точность (актуальность, без избыточности) и постоянная фокусировка на вопросе;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ind w:left="32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3. отличная интеграция теоретических вопросов;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ind w:left="32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3. предоставление соответствующих примеров;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ind w:left="32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90–100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</w:t>
      </w:r>
    </w:p>
    <w:tbl>
      <w:tblPr>
        <w:tblStyle w:val="Table2"/>
        <w:tblW w:w="9600.0" w:type="dxa"/>
        <w:jc w:val="left"/>
        <w:tblLayout w:type="fixed"/>
        <w:tblLook w:val="0400"/>
      </w:tblPr>
      <w:tblGrid>
        <w:gridCol w:w="1380"/>
        <w:gridCol w:w="6855"/>
        <w:gridCol w:w="1365"/>
        <w:tblGridChange w:id="0">
          <w:tblGrid>
            <w:gridCol w:w="1380"/>
            <w:gridCol w:w="6855"/>
            <w:gridCol w:w="1365"/>
          </w:tblGrid>
        </w:tblGridChange>
      </w:tblGrid>
      <w:tr>
        <w:trPr>
          <w:cantSplit w:val="0"/>
          <w:trHeight w:val="11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ind w:left="20" w:firstLine="5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4. Углубленный анализ и теоретическое обоснование данной проблемы (если применимо), выявление и интерпретация всех ключевых аспектов;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ind w:left="34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5. свободное владение профессиональной терминологией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291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ind w:left="29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хорошо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ind w:left="27" w:right="15" w:firstLine="2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1. все ключевые аспекты включены и представлены логически; 2. постоянное внимание к вопросу с удовлетворительной точностью, релевантностью и / или некоторой избыточностью;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ind w:left="32" w:right="1648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3. удовлетворительная интеграция теоретических вопросов; 3. отсутствие примеров;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ind w:left="20" w:right="2" w:firstLine="5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4. удовлетворительный анализ и теоретическое обоснование данной проблемы (если применимо), выявление и интерпретация большинства ключевых аспектов;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ind w:left="34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5. правильное использование профессиональной терминологии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ind w:left="31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75 - 89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ind w:left="44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E7">
            <w:pPr>
              <w:ind w:left="44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248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удовл.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1. 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Включено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большинство ключевых аспектов;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ind w:left="27" w:right="12" w:hanging="2.999999999999998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2. удовлетворительное внимание к вопросу - некоторые упущения уместности и / или заметная избыточность;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ind w:left="20" w:firstLine="12.00000000000000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3. Теоретические вопросы представлены без заметной интеграции; 3. Предоставление неудачных примеров или их отсутствие; 4. некоторый анализ и теоретическое обоснование данной проблемы (если применимо), выявление и интерпретация большинства ключевых аспектов;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ind w:left="34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5. правильное использование профессиональной терминологии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ind w:left="34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50 - 70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ind w:left="5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EF">
            <w:pPr>
              <w:ind w:left="44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259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ind w:left="22" w:right="6" w:hanging="1.0000000000000009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неудовлетворительно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ind w:left="54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1. упущено большинство ключевых моментов;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ind w:left="23" w:right="8" w:firstLine="2.999999999999998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2. Отсутствие внимания к вопросу - отсутствие актуальности и заметная избыточность;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ind w:left="32" w:right="1375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3. некоторые теоретические вопросы представлены так или иначе; 3. нет или не относящиеся к делу примеры;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ind w:left="20" w:firstLine="5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4. некоторый анализ и теоретическое обоснование данной проблемы (если применимо), большинство ключевых аспектов упущены; 5. упущения в использовании профессиональной терминологии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ind w:left="27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25–49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ind w:left="49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22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ind w:left="32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не удалось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ind w:left="54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1. упущено большинство или все ключевые аспекты;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ind w:left="26" w:right="1585" w:hanging="6.000000000000001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2. отсутствие акцента на вопросе, несущественная информация; 3. пропущенные или поверхностные теоретические вопросы;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ind w:left="32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3. нет или не относящиеся к делу примеры;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ind w:left="20" w:right="5" w:firstLine="5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4. отсутствие анализа и теоретического обоснования данной проблемы (если применимо), упущено большинство ключевых аспектов; 5. упущения в использовании профессиональной терминологии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ind w:left="31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0-24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D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0FE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0FF">
      <w:pPr>
        <w:ind w:right="3724"/>
        <w:jc w:val="right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Система оценок</w:t>
      </w:r>
      <w:r w:rsidDel="00000000" w:rsidR="00000000" w:rsidRPr="00000000">
        <w:rPr>
          <w:rtl w:val="0"/>
        </w:rPr>
      </w:r>
    </w:p>
    <w:tbl>
      <w:tblPr>
        <w:tblStyle w:val="Table3"/>
        <w:tblW w:w="9487.0" w:type="dxa"/>
        <w:jc w:val="left"/>
        <w:tblInd w:w="10.0" w:type="dxa"/>
        <w:tblLayout w:type="fixed"/>
        <w:tblLook w:val="0400"/>
      </w:tblPr>
      <w:tblGrid>
        <w:gridCol w:w="1868"/>
        <w:gridCol w:w="3059"/>
        <w:gridCol w:w="1783"/>
        <w:gridCol w:w="2777"/>
        <w:tblGridChange w:id="0">
          <w:tblGrid>
            <w:gridCol w:w="1868"/>
            <w:gridCol w:w="3059"/>
            <w:gridCol w:w="1783"/>
            <w:gridCol w:w="2777"/>
          </w:tblGrid>
        </w:tblGridChange>
      </w:tblGrid>
      <w:tr>
        <w:trPr>
          <w:cantSplit w:val="0"/>
          <w:trHeight w:val="55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Буквенная оценка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Цифровой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ind w:right="186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эквивалент оценки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%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white"/>
                <w:rtl w:val="0"/>
              </w:rPr>
              <w:t xml:space="preserve">Традиционная системная оценка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, 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95–100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отлично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9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495.0" w:type="dxa"/>
        <w:jc w:val="left"/>
        <w:tblInd w:w="10.0" w:type="dxa"/>
        <w:tblLayout w:type="fixed"/>
        <w:tblLook w:val="0400"/>
      </w:tblPr>
      <w:tblGrid>
        <w:gridCol w:w="1875"/>
        <w:gridCol w:w="3075"/>
        <w:gridCol w:w="1770"/>
        <w:gridCol w:w="2775"/>
        <w:tblGridChange w:id="0">
          <w:tblGrid>
            <w:gridCol w:w="1875"/>
            <w:gridCol w:w="3075"/>
            <w:gridCol w:w="1770"/>
            <w:gridCol w:w="277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3,67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90-94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 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3,33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85-89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хорошо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3,0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80-84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, 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75-79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 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, 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70-74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удовлетворительно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, 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65–69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1,67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60–64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1,33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55-59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ind w:right="768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         1,0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50-54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неудовлетворительно</w:t>
            </w:r>
          </w:p>
          <w:p w:rsidR="00000000" w:rsidDel="00000000" w:rsidP="00000000" w:rsidRDefault="00000000" w:rsidRPr="00000000" w14:paraId="00000132">
            <w:pPr>
              <w:ind w:left="330" w:right="28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неудовлетворительно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</w:t>
            </w:r>
          </w:p>
          <w:p w:rsidR="00000000" w:rsidDel="00000000" w:rsidP="00000000" w:rsidRDefault="00000000" w:rsidRPr="00000000" w14:paraId="0000013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(Incomplete)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B">
            <w:pPr>
              <w:ind w:right="28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«Дисциплина не завершена» (не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highlight w:val="white"/>
                <w:rtl w:val="0"/>
              </w:rPr>
              <w:t xml:space="preserve">принимается во внимание при подсчете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highlight w:val="white"/>
                <w:rtl w:val="0"/>
              </w:rPr>
              <w:t xml:space="preserve">GPA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highlight w:val="whit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C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13D">
      <w:pPr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13E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Основная литература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numPr>
          <w:ilvl w:val="0"/>
          <w:numId w:val="1"/>
        </w:numPr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Ньюсбаум Р. Л., Макиннес Р. Р., Уиллард X. Ф. Медицинская генетика: учебник / Роберт Л. Ньюсбаум, Родерик Р. Макиннес, Хантингтон Ф.; Уиллард / редактор русского издания Н. П. Бочков; переводчик А. А. Туребеков. - М .: ГЭОТАР-Медиа, 2014. - 528б.</w:t>
      </w:r>
    </w:p>
    <w:p w:rsidR="00000000" w:rsidDel="00000000" w:rsidP="00000000" w:rsidRDefault="00000000" w:rsidRPr="00000000" w14:paraId="00000141">
      <w:pPr>
        <w:numPr>
          <w:ilvl w:val="0"/>
          <w:numId w:val="1"/>
        </w:numPr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Медицинская биология и генетика. E.O. Куандыков ред. Алматы, 2004, 444 с.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Харкевич Д.А. «Фармакология» 2012 г.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ГЭОТАР-Медиа, 2016.-474с.</w:t>
      </w:r>
    </w:p>
    <w:p w:rsidR="00000000" w:rsidDel="00000000" w:rsidP="00000000" w:rsidRDefault="00000000" w:rsidRPr="00000000" w14:paraId="00000143">
      <w:pPr>
        <w:numPr>
          <w:ilvl w:val="0"/>
          <w:numId w:val="1"/>
        </w:numPr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Абдырасулова ФБ «Общая рецептура» 2014 г.</w:t>
      </w:r>
    </w:p>
    <w:p w:rsidR="00000000" w:rsidDel="00000000" w:rsidP="00000000" w:rsidRDefault="00000000" w:rsidRPr="00000000" w14:paraId="00000144">
      <w:pPr>
        <w:ind w:left="425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145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Дополнительная литература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ind w:left="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numPr>
          <w:ilvl w:val="0"/>
          <w:numId w:val="9"/>
        </w:numPr>
        <w:ind w:left="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Jorde, LB et al. (2016) Медицинская генетика. 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00"/>
            <w:u w:val="single"/>
            <w:rtl w:val="0"/>
          </w:rPr>
          <w:t xml:space="preserve">Филадельфия, Пенсильвания: Эльзевир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numPr>
          <w:ilvl w:val="0"/>
          <w:numId w:val="9"/>
        </w:numPr>
        <w:ind w:left="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Элементы медицинской генетики Эмери (2017) Turnpenny, PD, Ellard S. 15th Edition, Elsevier</w:t>
      </w:r>
    </w:p>
    <w:p w:rsidR="00000000" w:rsidDel="00000000" w:rsidP="00000000" w:rsidRDefault="00000000" w:rsidRPr="00000000" w14:paraId="00000149">
      <w:pPr>
        <w:numPr>
          <w:ilvl w:val="0"/>
          <w:numId w:val="9"/>
        </w:numPr>
        <w:ind w:left="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Альбертс, Б. и др. (2015) Молекулярная биология клетки, 6-е издание. Нью-Йорк, Нью-Йорк: Наука о гирляндах</w:t>
      </w:r>
    </w:p>
    <w:p w:rsidR="00000000" w:rsidDel="00000000" w:rsidP="00000000" w:rsidRDefault="00000000" w:rsidRPr="00000000" w14:paraId="0000014A">
      <w:pPr>
        <w:numPr>
          <w:ilvl w:val="0"/>
          <w:numId w:val="9"/>
        </w:numPr>
        <w:ind w:left="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Лодиш, Х. и др. (2016) Molecular Cell Biology, 8-е издание. WHFreeman</w:t>
      </w:r>
    </w:p>
    <w:p w:rsidR="00000000" w:rsidDel="00000000" w:rsidP="00000000" w:rsidRDefault="00000000" w:rsidRPr="00000000" w14:paraId="0000014B">
      <w:pPr>
        <w:numPr>
          <w:ilvl w:val="0"/>
          <w:numId w:val="9"/>
        </w:numPr>
        <w:ind w:left="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Альбертс, Б. (2014) Essential Cell Biology, 4-е издание. Нью-Йорк, Нью-Йорк: Наука о гирляндах </w:t>
      </w:r>
    </w:p>
    <w:p w:rsidR="00000000" w:rsidDel="00000000" w:rsidP="00000000" w:rsidRDefault="00000000" w:rsidRPr="00000000" w14:paraId="0000014C">
      <w:pPr>
        <w:numPr>
          <w:ilvl w:val="0"/>
          <w:numId w:val="9"/>
        </w:numPr>
        <w:ind w:left="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Hartwell, L. et al (2017) Генетика: от генов к геномам, 6-е издание. Нью-Йорк, штат Нью-Йорк: McGrawHill Education</w:t>
      </w:r>
    </w:p>
    <w:p w:rsidR="00000000" w:rsidDel="00000000" w:rsidP="00000000" w:rsidRDefault="00000000" w:rsidRPr="00000000" w14:paraId="0000014D">
      <w:pPr>
        <w:numPr>
          <w:ilvl w:val="0"/>
          <w:numId w:val="9"/>
        </w:numPr>
        <w:ind w:left="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Конспект лекций USMLE Step 1 (2017): Биохимия и медицинская генетика. 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000000"/>
            <w:u w:val="single"/>
            <w:rtl w:val="0"/>
          </w:rPr>
          <w:t xml:space="preserve">Kaplan Publishing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 York, NY: McGrawHill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Куандыков Е.Е., Нуралиева У. А. Основы общей и медицинской генетики (цикл лекций). Алматы: Эверо, 2009. 216 с.</w:t>
      </w:r>
    </w:p>
    <w:p w:rsidR="00000000" w:rsidDel="00000000" w:rsidP="00000000" w:rsidRDefault="00000000" w:rsidRPr="00000000" w14:paraId="0000014F">
      <w:pPr>
        <w:ind w:right="173"/>
        <w:jc w:val="center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highlight w:val="white"/>
          <w:rtl w:val="0"/>
        </w:rPr>
        <w:t xml:space="preserve">WWW ресурсы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ind w:right="173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numPr>
          <w:ilvl w:val="0"/>
          <w:numId w:val="2"/>
        </w:numPr>
        <w:ind w:left="0" w:right="158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OMIM® Online Mendelian Inheritance in Man® Интернет-каталог генов человека и генетических заболеваний </w:t>
      </w:r>
      <w:r w:rsidDel="00000000" w:rsidR="00000000" w:rsidRPr="00000000">
        <w:rPr>
          <w:rFonts w:ascii="Times New Roman" w:cs="Times New Roman" w:eastAsia="Times New Roman" w:hAnsi="Times New Roman"/>
          <w:color w:val="1155cc"/>
          <w:highlight w:val="white"/>
          <w:u w:val="single"/>
          <w:rtl w:val="0"/>
        </w:rPr>
        <w:t xml:space="preserve">https://www.omim.org/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numPr>
          <w:ilvl w:val="0"/>
          <w:numId w:val="2"/>
        </w:numPr>
        <w:ind w:left="0" w:right="173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Реестр генетического тестирования (GTR®) </w:t>
      </w:r>
      <w:r w:rsidDel="00000000" w:rsidR="00000000" w:rsidRPr="00000000">
        <w:rPr>
          <w:rFonts w:ascii="Times New Roman" w:cs="Times New Roman" w:eastAsia="Times New Roman" w:hAnsi="Times New Roman"/>
          <w:color w:val="1155cc"/>
          <w:highlight w:val="white"/>
          <w:rtl w:val="0"/>
        </w:rPr>
        <w:t xml:space="preserve">h </w:t>
      </w:r>
      <w:r w:rsidDel="00000000" w:rsidR="00000000" w:rsidRPr="00000000">
        <w:rPr>
          <w:rFonts w:ascii="Times New Roman" w:cs="Times New Roman" w:eastAsia="Times New Roman" w:hAnsi="Times New Roman"/>
          <w:color w:val="1155cc"/>
          <w:highlight w:val="white"/>
          <w:u w:val="single"/>
          <w:rtl w:val="0"/>
        </w:rPr>
        <w:t xml:space="preserve">ttps: //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highlight w:val="white"/>
            <w:u w:val="single"/>
            <w:rtl w:val="0"/>
          </w:rPr>
          <w:t xml:space="preserve">www.ncbi.nlm.nih.gov/gtr/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1155cc"/>
          <w:highlight w:val="white"/>
          <w:u w:val="singl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numPr>
          <w:ilvl w:val="0"/>
          <w:numId w:val="2"/>
        </w:numPr>
        <w:ind w:left="0" w:right="173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Genetics Home Reference. </w:t>
      </w:r>
      <w:r w:rsidDel="00000000" w:rsidR="00000000" w:rsidRPr="00000000">
        <w:rPr>
          <w:rFonts w:ascii="Times New Roman" w:cs="Times New Roman" w:eastAsia="Times New Roman" w:hAnsi="Times New Roman"/>
          <w:color w:val="1155cc"/>
          <w:highlight w:val="white"/>
          <w:rtl w:val="0"/>
        </w:rPr>
        <w:t xml:space="preserve">ч </w:t>
      </w:r>
      <w:r w:rsidDel="00000000" w:rsidR="00000000" w:rsidRPr="00000000">
        <w:rPr>
          <w:rFonts w:ascii="Times New Roman" w:cs="Times New Roman" w:eastAsia="Times New Roman" w:hAnsi="Times New Roman"/>
          <w:color w:val="1155cc"/>
          <w:highlight w:val="white"/>
          <w:u w:val="single"/>
          <w:rtl w:val="0"/>
        </w:rPr>
        <w:t xml:space="preserve">TTPS: //ghr.nlm.nih.gov/resources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numPr>
          <w:ilvl w:val="0"/>
          <w:numId w:val="2"/>
        </w:numPr>
        <w:ind w:left="0" w:right="173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ClinGen: Клиническая Геном ресурсов 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highlight w:val="white"/>
            <w:u w:val="single"/>
            <w:rtl w:val="0"/>
          </w:rPr>
          <w:t xml:space="preserve">https://www.clinicalgenome.org/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1155cc"/>
          <w:highlight w:val="white"/>
          <w:u w:val="singl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numPr>
          <w:ilvl w:val="0"/>
          <w:numId w:val="2"/>
        </w:numPr>
        <w:ind w:left="0" w:right="173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Learn.Genetics </w:t>
      </w:r>
      <w:r w:rsidDel="00000000" w:rsidR="00000000" w:rsidRPr="00000000">
        <w:rPr>
          <w:rFonts w:ascii="Times New Roman" w:cs="Times New Roman" w:eastAsia="Times New Roman" w:hAnsi="Times New Roman"/>
          <w:color w:val="1155cc"/>
          <w:highlight w:val="white"/>
          <w:u w:val="single"/>
          <w:rtl w:val="0"/>
        </w:rPr>
        <w:t xml:space="preserve">https://learn.genetics.utah.edu/content/ основы /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numPr>
          <w:ilvl w:val="0"/>
          <w:numId w:val="2"/>
        </w:numPr>
        <w:ind w:left="0" w:right="173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Ресурсы по клиническому генетическому образованию (курсы и лекции) </w:t>
      </w:r>
      <w:r w:rsidDel="00000000" w:rsidR="00000000" w:rsidRPr="00000000">
        <w:rPr>
          <w:rFonts w:ascii="Times New Roman" w:cs="Times New Roman" w:eastAsia="Times New Roman" w:hAnsi="Times New Roman"/>
          <w:color w:val="1155cc"/>
          <w:highlight w:val="white"/>
          <w:u w:val="single"/>
          <w:rtl w:val="0"/>
        </w:rPr>
        <w:t xml:space="preserve">https://www.kumc.edu/gec/prof/genecour.html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numPr>
          <w:ilvl w:val="0"/>
          <w:numId w:val="2"/>
        </w:numPr>
        <w:ind w:left="0" w:right="62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Образовательная программа по геномике. 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highlight w:val="white"/>
            <w:u w:val="single"/>
            <w:rtl w:val="0"/>
          </w:rPr>
          <w:t xml:space="preserve">https://www.genomicseducation.hee.nhs.uk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1155cc"/>
          <w:highlight w:val="white"/>
          <w:u w:val="singl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numPr>
          <w:ilvl w:val="0"/>
          <w:numId w:val="2"/>
        </w:numPr>
        <w:ind w:left="0" w:right="62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 Учебная программа ELSEVIER «Клиническое обучение», 2018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numPr>
          <w:ilvl w:val="0"/>
          <w:numId w:val="2"/>
        </w:numPr>
        <w:shd w:fill="ffffff" w:val="clear"/>
        <w:ind w:left="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1155cc"/>
          <w:highlight w:val="white"/>
          <w:u w:val="single"/>
          <w:rtl w:val="0"/>
        </w:rPr>
        <w:t xml:space="preserve">https://www.msdmanuals.com/professional/clinical-pharmacology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40" w:top="1440" w:left="1440" w:right="1418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ncbi.nlm.nih.gov/gtr/" TargetMode="External"/><Relationship Id="rId10" Type="http://schemas.openxmlformats.org/officeDocument/2006/relationships/hyperlink" Target="https://translate.google.com/translate?hl=ru&amp;prev=_t&amp;sl=en&amp;tl=ru&amp;u=https://www.bookdepository.com/publishers/Kaplan-Publishing" TargetMode="External"/><Relationship Id="rId13" Type="http://schemas.openxmlformats.org/officeDocument/2006/relationships/hyperlink" Target="https://www.genomicseducation.hee.nhs.uk" TargetMode="External"/><Relationship Id="rId12" Type="http://schemas.openxmlformats.org/officeDocument/2006/relationships/hyperlink" Target="https://www.clinicalgenome.org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ranslate.google.com/translate?hl=ru&amp;prev=_t&amp;sl=en&amp;tl=ru&amp;u=http://cat.lib.unimelb.edu.au/search~S30%3F/hElsevier%252C/helsevier/-3,-1,0,B/browse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rE2/X46ZVdPiAqCmKCrgs9XUPA==">CgMxLjAyCGguZ2pkZ3hzOAByITE1X3FVTWxoRTRlaWpray1hdXpMbS0xRFEwNWRRLThaTw==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