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КАЗАХСКИЙ НАЦИОНАЛЬНЫЙ УНИВЕРСИТЕТ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ИМЕНИ АЛЬ-ФАРАБИ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Факультет медицины и здравоохранения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Высш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ая школа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заключительного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экзамена по дисциплине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080"/>
        </w:tabs>
        <w:spacing w:before="3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09">
      <w:pPr>
        <w:tabs>
          <w:tab w:val="left" w:leader="none" w:pos="8080"/>
        </w:tabs>
        <w:spacing w:before="3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МОЛЕКУЛЯРНЫЕ ОСНОВЫ ПАТОЛОГИИ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3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10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319" w:lineRule="auto"/>
        <w:ind w:left="11" w:right="349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Ожидаемые результаты: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Студенты на выпускном экзамене должны продемонстрировать способность: 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before="319" w:lineRule="auto"/>
        <w:ind w:left="426" w:right="34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о молекулярных и генетических аспектах генетически детерминированных заболеваний (хромосомных, моногенных, полигенных); понимать принципы генетической диагностики и медико-генетического консультирования 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426" w:right="349" w:hanging="426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молекулярно-генетических, биохимических механизмов реакции организма на лекарства и биологически активные соединения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426" w:right="55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онимать биохимические процессы в основных патологических состояниях и генетически обусловленных заболеваниях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426" w:right="152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нтерпретировать результаты конкретных методов молекулярно-генетической диагностики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426" w:right="152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онимать роль соответствующих факторов риска заболеваний для принятия решений с целью их предотвращения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426" w:right="173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бъединить знания о генетике человека, иммунном ответе, биохимических процессах и взаимодействии микро- и макроорганизмов в целях диагностики и индивидуального лечения патологии человека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426" w:right="15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нать фармакокинетические параметры, механизмы абсорбции и биотрансформации лекарственных средств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426" w:right="167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рименять знания фармакодинамики и механизмов действия препаратов при основных патологических процессах (влияющих на кислотно-основное состояние, гемостаз и кроветворение, воспаление, инфекционный процесс, аллергию, аутоиммунитет, онкопроцесс). Знайте виды нежелательных побочных реакций и понимайте возможности их коррекции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426" w:right="151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родемонстрировать способность выявлять пробелы в обучении и разрабатывать стратегии для улучшения собственных знаний и навыков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426" w:right="157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Э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ффективно общаться с другими студентами и преподавателями относительно медицинской и научной информации, четко формулировать их мнения при обсуждении и эффективно работать в качестве члена команды</w:t>
      </w:r>
    </w:p>
    <w:p w:rsidR="00000000" w:rsidDel="00000000" w:rsidP="00000000" w:rsidRDefault="00000000" w:rsidRPr="00000000" w14:paraId="00000016">
      <w:pPr>
        <w:spacing w:before="21" w:lineRule="auto"/>
        <w:ind w:right="157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 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МЕДИЦИНСКАЯ ГЕНЕТИКА</w:t>
      </w:r>
    </w:p>
    <w:p w:rsidR="00000000" w:rsidDel="00000000" w:rsidP="00000000" w:rsidRDefault="00000000" w:rsidRPr="00000000" w14:paraId="00000018">
      <w:pPr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(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ECTS)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Утвержденная форма итогового экзамена - письменный экзамен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6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Темы, включенные в итоговый экзамен: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3" w:lineRule="auto"/>
        <w:ind w:left="283.46456692913375" w:right="173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Введение в медицинскую генетику. Хромосомные болезни.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(синдром Дауна, синдромы Патау, синдром Эдвардса, синдром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“кошачьего крика”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283.46456692913375" w:right="154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Нарушения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полов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хромосом (трисомия-X, Y-дисомия, синдром Клайнфельтера и синдром Тернера). Кратк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обзор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хромосомных болезней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before="0" w:beforeAutospacing="0" w:lineRule="auto"/>
        <w:ind w:left="283.46456692913375" w:right="17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Классические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аутосомн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наследование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(фенилкетонурия, галактоземия, алкаптонурия, фруктозурия, муковисцидоз, синдром Марфана, ахондроплазия, синдром Вильсона-Коновалова, гипертрихоз).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283.46456692913375" w:right="177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Классические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менделирующие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наслед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ование,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сцепленн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с полом (гемофилия, дальтонизм, ихтиоз, </w:t>
      </w:r>
      <w:r w:rsidDel="00000000" w:rsidR="00000000" w:rsidRPr="00000000">
        <w:rPr>
          <w:rFonts w:ascii="Times New Roman" w:cs="Times New Roman" w:eastAsia="Times New Roman" w:hAnsi="Times New Roman"/>
          <w:color w:val="202122"/>
          <w:highlight w:val="white"/>
          <w:rtl w:val="0"/>
        </w:rPr>
        <w:t xml:space="preserve">синдром Леш–Нояна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, мышечная дистрофия Дюшенна, витаминно-резистентный рахит)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283.46456692913375" w:right="177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Био</w:t>
      </w:r>
      <w:r w:rsidDel="00000000" w:rsidR="00000000" w:rsidRPr="00000000">
        <w:rPr>
          <w:highlight w:val="white"/>
          <w:rtl w:val="0"/>
        </w:rPr>
        <w:t xml:space="preserve">химические основы наследственных нарушений обмена веществ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/>
        <w:ind w:left="283.46456692913375" w:right="177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Био</w:t>
      </w:r>
      <w:r w:rsidDel="00000000" w:rsidR="00000000" w:rsidRPr="00000000">
        <w:rPr>
          <w:rtl w:val="0"/>
        </w:rPr>
        <w:t xml:space="preserve">химические нарушения при энзимопатии липидного обмена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Неменделирующие генетические 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(синдром Прадера-Вилли, синдром Ангельмана , болезнь Хантингтона)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Основы популяционной генетики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283.46456692913375" w:right="163" w:hanging="360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Фармакогенетика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многофакторные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заболевания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(Сахарный диабет, шизофрения, семейная гиперхолестеринемия, артериальная гипертензия)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283.46456692913375" w:right="163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Онкогенетика и геномика (рак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молочной железы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before="0" w:beforeAutospacing="0" w:lineRule="auto"/>
        <w:ind w:left="283.46456692913375" w:right="163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</w:t>
      </w:r>
      <w:r w:rsidDel="00000000" w:rsidR="00000000" w:rsidRPr="00000000">
        <w:rPr>
          <w:rtl w:val="0"/>
        </w:rPr>
        <w:t xml:space="preserve">етаболические аспекты онкологических заболеваний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283.46456692913375" w:right="185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Полигенные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болезни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: пороки развития (дефект нервной трубки, расщелина губы и неба, дисплазия бедра).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283.46456692913375" w:right="185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</w:t>
      </w:r>
      <w:r w:rsidDel="00000000" w:rsidR="00000000" w:rsidRPr="00000000">
        <w:rPr>
          <w:rtl w:val="0"/>
        </w:rPr>
        <w:t xml:space="preserve">енетическое консультирование. Генетическое исследование, профилактика и лечение.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425" w:right="185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349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Ожидаемые результаты после окончания изучения дисциплины:</w:t>
      </w:r>
    </w:p>
    <w:p w:rsidR="00000000" w:rsidDel="00000000" w:rsidP="00000000" w:rsidRDefault="00000000" w:rsidRPr="00000000" w14:paraId="0000002D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Применять знания о молекулярных и генетических аспектах генетически детерминированных заболеваний (хромосомных, моногенных, полигенных); понимать принципы генетической диагностики и медико-генетического консультирования </w:t>
      </w:r>
    </w:p>
    <w:p w:rsidR="00000000" w:rsidDel="00000000" w:rsidP="00000000" w:rsidRDefault="00000000" w:rsidRPr="00000000" w14:paraId="0000002E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Применять знания молекулярно-генетических, биохимических механизмов реакции организма на лекарства и биологически активные соединения</w:t>
      </w:r>
    </w:p>
    <w:p w:rsidR="00000000" w:rsidDel="00000000" w:rsidP="00000000" w:rsidRDefault="00000000" w:rsidRPr="00000000" w14:paraId="0000002F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Понимать биохимические процессы в основных патологических состояниях и генетически обусловленных заболеваниях</w:t>
      </w:r>
    </w:p>
    <w:p w:rsidR="00000000" w:rsidDel="00000000" w:rsidP="00000000" w:rsidRDefault="00000000" w:rsidRPr="00000000" w14:paraId="00000030">
      <w:pPr>
        <w:ind w:right="34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Примерная типология экзаменационных заданий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353" w:hanging="235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Кейс.</w:t>
      </w:r>
    </w:p>
    <w:p w:rsidR="00000000" w:rsidDel="00000000" w:rsidP="00000000" w:rsidRDefault="00000000" w:rsidRPr="00000000" w14:paraId="00000034">
      <w:pPr>
        <w:ind w:left="2353" w:hanging="235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114300" distT="114300" distL="114300" distR="114300">
            <wp:extent cx="3395663" cy="24891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5663" cy="24891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П.С., 30-летняя здоровая женщина, была на 27 неделе беременности первым ребенком. Ультразвуковое исследование плода на 26 неделе беременности выявило плод женского пола с макроцефалией и ризомелией (укорочением проксимальных сегментов конечностей). Супругу П.С. было 45 лет, он был здоров; у него было трое здоровых детей от предыдущих отношений. Ни один из родителей не имел семейной истории дисплазии скелета, врожденных дефектов или генетических нарушений. Акушер объяснил родителям, что у их плода черты ахондроплазии. Девочку родили на сроке 38 недель путем кесарева сечения. У нее были физические и рентгенологические признаки ахондроплазии, включая лобные выступы, мегалэнцефалию, гипоплазию средней зоны лица, поясничный кифоз, ограниченное разгибание локтей, ризомелию, брахидактилию и гипотонию. В соответствии с ее физическими особенностями, тестирование ДНК выявило мутацию 1138G&gt;A, приводящую к замене глицина на аргинин в кодоне 380 (Giy380Arg) в гене рецептора 3 фактора роста фибробластов (FGFR: JJ.)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Типы вопросов. 5 из них на выбор (2 из уровня I, 2 из уровня II, 1 из уровня 3):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Установите диагноз. Объясните, к какой группе генетических заболеваний относится этот случай? (III уровень)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Опишите (составьте) генеалогическое древо пробанда? (II уровень)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Каковы основные особенности наследования этой генетической группы болезней? (I уровень)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Объясните основные генетические данные/символы, приведенные для этого заболевания в OMIM (I уровень).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Предложите и объясните стратегию оценки риска для этой семьи/пробанда/братьев и сестер ... (III уровень)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Напишите об основных причинах, приводящих к этому заболеванию? (I уровень)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Какова эпидемиология этого заболевания? Уровень распространенности? (I уровень)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Какие генетические варианты этого заболевания вам известны? (I уровень)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Объясните вероятный механизм мутаций в этом случае/в этом заболевании в целом/в этом типе заболеваний… (II уровень)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Какие фенотипические формы этого заболевания известны? Объясните причины фенотипического разнообразия. (I уровень)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Предложите генетические механизмы, влияющие на фенотип пробанда, и объясните ваши мысли? (III уровень)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12. Предложите методы диагностики/профилактики/лечения этого случая/ этого заболевания в целом/этого типа заболеваний и объясните свою стратегию (III уровень)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13. Назовите другие расстройства, которые характеризуются такой степенью распространенности. Какие типы мутаций связаны с этими расстройствами? (III уровень)</w:t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14. Сравните и сопоставьте патологические механизмы этого заболевания в целом/этого типа заболеваний и соотнесите их с клинической картиной (III уровень).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 Объясните, как фенотипическая тяжесть этого заболевания в целом/ этого типа заболеваний… коррелирует с типом мутации (II уровень).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16. Обсудите возможные этические и правовые вопросы, касающиеся диагностики/профилактики/лечения этого случая/этого заболевания в целом/этого типа заболеваний ... (II уровень)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17. Обсудите возможные религиозные, культурные, социальные и этические убеждения и понимания, которые могут повлиять на решения, которые примет пациент/семья (II уровень).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2353" w:hanging="2353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104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95"/>
        <w:jc w:val="left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ОБЩАЯ ФАРМАКОЛОГИЯ</w:t>
      </w:r>
    </w:p>
    <w:p w:rsidR="00000000" w:rsidDel="00000000" w:rsidP="00000000" w:rsidRDefault="00000000" w:rsidRPr="00000000" w14:paraId="0000004D">
      <w:pPr>
        <w:ind w:right="-46"/>
        <w:jc w:val="left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(</w:t>
      </w:r>
      <w:r w:rsidDel="00000000" w:rsidR="00000000" w:rsidRPr="00000000">
        <w:rPr>
          <w:b w:val="1"/>
          <w:highlight w:val="whit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ECTS)</w:t>
      </w:r>
    </w:p>
    <w:p w:rsidR="00000000" w:rsidDel="00000000" w:rsidP="00000000" w:rsidRDefault="00000000" w:rsidRPr="00000000" w14:paraId="0000004E">
      <w:pPr>
        <w:ind w:right="1043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8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Утвержденная форма итогового экзамена - письменный экзамен</w:t>
      </w:r>
    </w:p>
    <w:p w:rsidR="00000000" w:rsidDel="00000000" w:rsidP="00000000" w:rsidRDefault="00000000" w:rsidRPr="00000000" w14:paraId="00000050">
      <w:pPr>
        <w:ind w:left="8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Темы, включенные в итоговый экзамен</w:t>
      </w:r>
    </w:p>
    <w:p w:rsidR="00000000" w:rsidDel="00000000" w:rsidP="00000000" w:rsidRDefault="00000000" w:rsidRPr="00000000" w14:paraId="00000051">
      <w:pPr>
        <w:ind w:left="8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Введение в фармакологию. Рецептура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Фармакокинетика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Фармакодинамика.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ПНС. Холинергические препараты.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Холинергические препараты. Холиноблокаторы. Реактиваторы холинэстеразы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ПНС. Адренергические препараты.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Адреноблокаторы. Антагонисты альфа и бета-адренорецепторов Симпатолитики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Снотворные препараты.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Местные анестетики.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Противоаллергические препараты. Cтероидные противовоспалительные средства.</w:t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Антиангинальные препараты,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Антигипертензивные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Фармакология системы кроветворения и гемостаза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Сахарный диабет. Противодиабетические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Противовоспалительные препараты. Нестероидные противовоспалительные средства.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Опиоидная система. Опиоидные антагонисты. Лекарственная зависимость.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Антибиотики. Бета-лактамные антибиотики.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Антибиотики. Макролиды, Тетрациклины, Аминогликозиды. Пептидные антибиотики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Нитроимидазолы и нитрофураны. фторхинолоны. Сульфаниламиды. Триметоприм. Линезолид.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Противотуберкулезные средства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Противовирусные препараты. Лечение ВИЧ-инфекции.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Противогрибковые препараты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720" w:firstLine="0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Список препаратов для повторения перед заключительным экзаменом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1. Адреналин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2. Норадреналин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3. Эналаприл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4. Ацетилсалицил қышқылы.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5. Метопролол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6. Лозартан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7. Гидрохлоротиазид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8. Актрапид инсулині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9. Инсулин NPH</w:t>
      </w:r>
    </w:p>
    <w:p w:rsidR="00000000" w:rsidDel="00000000" w:rsidP="00000000" w:rsidRDefault="00000000" w:rsidRPr="00000000" w14:paraId="0000007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10. Флутиказон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11. Салбутамол (Альбутерол)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12. Амоксициллин/клавуланат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13. Кортизол (гидрокортизон)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14. Спиронолактон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15. Метформин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16. Неостигмин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17. Дексаметазон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18. Гепарин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19. Варфарин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20. Фуросемид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21. Цефтриаксон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22. Празозин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23. Нифедипин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24. Изониазид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25. Стрептомицин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26. Метронидазол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27. Ципрофлоксацин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28. Азитромицин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29. Гликлазид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30. Флуконазол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31. Ацикловир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32. Амфотерицин В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33. Рифампицин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34. Фуразолидон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35. Ко-тримоксазол.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36. Пиоглитазон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37. Морфин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38. Диклофенак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39. Ривароксабан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40. Нитроглицерин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41. Доксициклин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42. Ванкомицин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43 Интерферон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44. Лидокаин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45. Фенобарбитал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46. Золпидем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47. Лоратадин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48. Флутиказон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49. Недокромил натрия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50. Супрастин</w:t>
      </w:r>
    </w:p>
    <w:p w:rsidR="00000000" w:rsidDel="00000000" w:rsidP="00000000" w:rsidRDefault="00000000" w:rsidRPr="00000000" w14:paraId="00000099">
      <w:pPr>
        <w:rPr/>
        <w:sectPr>
          <w:headerReference r:id="rId8" w:type="default"/>
          <w:pgSz w:h="16838" w:w="11906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 окончании этого курса студенты приобретут следующие навыки: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знание фармакокинетических параметров, механизмов всасывания и биотрансформации лекарств; 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применение знаний о фармакодинамике и механизмах действия лекарств при основных патологических процессах (влияющие на гемостаз и кроветворение, воспаление, инфекционный процесс, артериальная гипертензия, гипергликемия, артериальная гипотензия). Знать виды побочных реакций и понимать возможность их коррекции; 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ind w:left="284" w:hanging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продемонстрировать способность выявлять пробелы в обучении и разрабатывать стратегии для улучшения своих знаний и навыков;</w:t>
      </w:r>
    </w:p>
    <w:p w:rsidR="00000000" w:rsidDel="00000000" w:rsidP="00000000" w:rsidRDefault="00000000" w:rsidRPr="00000000" w14:paraId="0000009E">
      <w:pPr>
        <w:ind w:left="284" w:right="1925" w:hanging="284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17" w:right="-24" w:firstLine="3.0000000000000004"/>
        <w:jc w:val="center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Примерная типология экзаменационных заданий</w:t>
      </w:r>
    </w:p>
    <w:p w:rsidR="00000000" w:rsidDel="00000000" w:rsidP="00000000" w:rsidRDefault="00000000" w:rsidRPr="00000000" w14:paraId="000000A1">
      <w:pPr>
        <w:ind w:left="17" w:right="1925" w:firstLine="3.0000000000000004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6" w:right="419" w:firstLine="2.000000000000001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Часть1.</w:t>
      </w:r>
    </w:p>
    <w:p w:rsidR="00000000" w:rsidDel="00000000" w:rsidP="00000000" w:rsidRDefault="00000000" w:rsidRPr="00000000" w14:paraId="000000A3">
      <w:pPr>
        <w:ind w:left="6" w:right="419" w:firstLine="2.000000000000001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Ситуационная задача: </w:t>
      </w:r>
    </w:p>
    <w:p w:rsidR="00000000" w:rsidDel="00000000" w:rsidP="00000000" w:rsidRDefault="00000000" w:rsidRPr="00000000" w14:paraId="000000A4">
      <w:pPr>
        <w:ind w:left="16" w:firstLine="0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Пациент 75 лет, у которого повышенное артериальное давление успешно контролировалось приемом петлевых диуретиков, недавно обратился с жалобами на мышечную слабость, парестезии, диспептические расстройства, тахикардию. Из-за этих побочных эффектов он не может справляться со своей повседневной работой.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16" w:firstLine="0"/>
        <w:rPr>
          <w:rFonts w:ascii="Times New Roman" w:cs="Times New Roman" w:eastAsia="Times New Roman" w:hAnsi="Times New Roman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16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Типы вопросов.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Расскажите о механизме действия препарата.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побочного действия лекарств.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взаимодействия лекарств.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фармакологическую основу перехода с одного препарата на другой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Сравните механизм действия двух препаратов с аналогичным эффектом.</w:t>
      </w:r>
    </w:p>
    <w:p w:rsidR="00000000" w:rsidDel="00000000" w:rsidP="00000000" w:rsidRDefault="00000000" w:rsidRPr="00000000" w14:paraId="000000AC">
      <w:pPr>
        <w:numPr>
          <w:ilvl w:val="0"/>
          <w:numId w:val="3"/>
        </w:numPr>
        <w:ind w:left="426" w:right="429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Предложите агонист / антагонист гормона.</w:t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ind w:left="426" w:right="171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 механизм действия гормона и то, как лекарства могут на него повлиять.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426" w:hanging="426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Опишите препарат - частичный агонист.</w:t>
      </w:r>
    </w:p>
    <w:p w:rsidR="00000000" w:rsidDel="00000000" w:rsidP="00000000" w:rsidRDefault="00000000" w:rsidRPr="00000000" w14:paraId="000000AF">
      <w:pPr>
        <w:numPr>
          <w:ilvl w:val="0"/>
          <w:numId w:val="3"/>
        </w:numPr>
        <w:ind w:left="426" w:right="194" w:hanging="42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Перечислите дополнительные лекарства, которые могут помочь в этом состоянии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ind w:left="426" w:right="194" w:hanging="426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Объясните, как побочные эффекты связаны с механизмом действия лекарства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numPr>
          <w:ilvl w:val="0"/>
          <w:numId w:val="3"/>
        </w:numPr>
        <w:ind w:left="426" w:right="194" w:hanging="426"/>
        <w:jc w:val="both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Назовите препарат.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Часть 2. Написать рецепт</w:t>
      </w:r>
    </w:p>
    <w:p w:rsidR="00000000" w:rsidDel="00000000" w:rsidP="00000000" w:rsidRDefault="00000000" w:rsidRPr="00000000" w14:paraId="000000B4">
      <w:pPr>
        <w:numPr>
          <w:ilvl w:val="0"/>
          <w:numId w:val="8"/>
        </w:numPr>
        <w:ind w:left="720" w:right="1663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Эналаприл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Амоксициллин / клавуланат 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Адреналин</w:t>
      </w:r>
    </w:p>
    <w:p w:rsidR="00000000" w:rsidDel="00000000" w:rsidP="00000000" w:rsidRDefault="00000000" w:rsidRPr="00000000" w14:paraId="000000B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16" w:right="100" w:hanging="1.000000000000000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25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</w:p>
    <w:p w:rsidR="00000000" w:rsidDel="00000000" w:rsidP="00000000" w:rsidRDefault="00000000" w:rsidRPr="00000000" w14:paraId="000000B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Инструкции по технологии проведения экзамена “ПИСЬМЕННЫЙ ЭКЗАМЕН:</w:t>
      </w:r>
    </w:p>
    <w:p w:rsidR="00000000" w:rsidDel="00000000" w:rsidP="00000000" w:rsidRDefault="00000000" w:rsidRPr="00000000" w14:paraId="000000BC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ТРАДИЦИОННЫЙ – ОТВЕТЫ НА ВОПРОСЫ”.</w:t>
      </w:r>
    </w:p>
    <w:p w:rsidR="00000000" w:rsidDel="00000000" w:rsidP="00000000" w:rsidRDefault="00000000" w:rsidRPr="00000000" w14:paraId="000000BD">
      <w:pPr>
        <w:ind w:left="18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оффлайн в аудитории.</w:t>
      </w:r>
    </w:p>
    <w:p w:rsidR="00000000" w:rsidDel="00000000" w:rsidP="00000000" w:rsidRDefault="00000000" w:rsidRPr="00000000" w14:paraId="000000B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Процесс сдачи письменного экзамена студентом предполагает автоматическое создание экзаменационного билета студенту, на который необходимо формировать письменный ответ путем прямого написания текста от руки.</w:t>
      </w:r>
    </w:p>
    <w:p w:rsidR="00000000" w:rsidDel="00000000" w:rsidP="00000000" w:rsidRDefault="00000000" w:rsidRPr="00000000" w14:paraId="000000C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Инструкции по технологии проведения экзамена</w:t>
      </w:r>
    </w:p>
    <w:p w:rsidR="00000000" w:rsidDel="00000000" w:rsidP="00000000" w:rsidRDefault="00000000" w:rsidRPr="00000000" w14:paraId="000000C1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Длительность экзамена составляет ровно 3 часа.</w:t>
      </w:r>
    </w:p>
    <w:p w:rsidR="00000000" w:rsidDel="00000000" w:rsidP="00000000" w:rsidRDefault="00000000" w:rsidRPr="00000000" w14:paraId="000000C2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Экзамены в письменной форме проводятся согласно утвержденному расписанию.</w:t>
      </w:r>
    </w:p>
    <w:p w:rsidR="00000000" w:rsidDel="00000000" w:rsidP="00000000" w:rsidRDefault="00000000" w:rsidRPr="00000000" w14:paraId="000000C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Вход обучающимся в аудиторию, где проводится письменный экзамен, разрешается только по документу, удостоверяющему личность (или студенческий билет). Запрещается присутствие лиц, не принимающих участие в процедуре проведения экзаменов.</w:t>
      </w:r>
    </w:p>
    <w:p w:rsidR="00000000" w:rsidDel="00000000" w:rsidP="00000000" w:rsidRDefault="00000000" w:rsidRPr="00000000" w14:paraId="000000C4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проводит сверку документа, удостоверяющего личность, с ведомостью допуска к экзамену. Студент, имеющий рейтинг-допуск по дисциплине менее 50%, к сдаче письменного экзамена не допускается.</w:t>
      </w:r>
    </w:p>
    <w:p w:rsidR="00000000" w:rsidDel="00000000" w:rsidP="00000000" w:rsidRDefault="00000000" w:rsidRPr="00000000" w14:paraId="000000C5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Запуск в аудиторию осуществляет проктор (по списку называет фамилии и рассаживает по списку).</w:t>
      </w:r>
    </w:p>
    <w:p w:rsidR="00000000" w:rsidDel="00000000" w:rsidP="00000000" w:rsidRDefault="00000000" w:rsidRPr="00000000" w14:paraId="000000C6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Опоздавшие студенты к экзамену не допускаются.</w:t>
      </w:r>
    </w:p>
    <w:p w:rsidR="00000000" w:rsidDel="00000000" w:rsidP="00000000" w:rsidRDefault="00000000" w:rsidRPr="00000000" w14:paraId="000000C7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Проктор выдает каждому обучающемуся лист ответа (при необходимости студент может взять дополнительный лист ответа) и предоставляет возможность студенту выбрать билет по сдаваемой дисциплине (при этом текст билета не должен быть виден студенту).</w:t>
      </w:r>
    </w:p>
    <w:p w:rsidR="00000000" w:rsidDel="00000000" w:rsidP="00000000" w:rsidRDefault="00000000" w:rsidRPr="00000000" w14:paraId="000000C8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Студенты, присутствующие на экзамене, должны расписаться в ведомости допуска.</w:t>
      </w:r>
    </w:p>
    <w:p w:rsidR="00000000" w:rsidDel="00000000" w:rsidP="00000000" w:rsidRDefault="00000000" w:rsidRPr="00000000" w14:paraId="000000C9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Время начала и окончания письменного экзамена фиксируется на доске.</w:t>
      </w:r>
    </w:p>
    <w:p w:rsidR="00000000" w:rsidDel="00000000" w:rsidP="00000000" w:rsidRDefault="00000000" w:rsidRPr="00000000" w14:paraId="000000CA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время письменного экзамена вопросы обучающихся по содержанию экзаменационных билетов не рассматриваются.</w:t>
      </w:r>
    </w:p>
    <w:p w:rsidR="00000000" w:rsidDel="00000000" w:rsidP="00000000" w:rsidRDefault="00000000" w:rsidRPr="00000000" w14:paraId="000000CB">
      <w:pPr>
        <w:ind w:left="72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Если обучающийся не соблюдает установленные требования на экзамене: использует шпаргалки, мобильные и другие устройства, допускает дисциплинарные нарушения, мешает своими действиями другим обучающимся, проктор вправе удалить его из аудитории. В этом случае составляется акт о нарушении процедуры экзамена, лист ответов аннулируется путем перечеркивания по диагоналям, в ведомости допуска делается отметка «Удален за нарушение», в ведомости проставляется «0».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C">
      <w:pPr>
        <w:ind w:left="720" w:firstLine="0"/>
        <w:jc w:val="both"/>
        <w:rPr>
          <w:color w:val="202124"/>
          <w:shd w:fill="f8f9fa" w:val="clear"/>
        </w:rPr>
      </w:pPr>
      <w:r w:rsidDel="00000000" w:rsidR="00000000" w:rsidRPr="00000000">
        <w:rPr>
          <w:color w:val="202124"/>
          <w:shd w:fill="f8f9fa" w:val="clear"/>
          <w:rtl w:val="0"/>
        </w:rPr>
        <w:t xml:space="preserve">12. Допускается посещение студентом уборной не чаще 1 раза в час, продолжительностью не более 5 минут. При необходимости частого посещения туалета (например, по состоянию здоровья) студент должен пройти медицинский осмотр, и экзамен засчитывается как отсутствие студента на экзамене.</w:t>
      </w:r>
    </w:p>
    <w:p w:rsidR="00000000" w:rsidDel="00000000" w:rsidP="00000000" w:rsidRDefault="00000000" w:rsidRPr="00000000" w14:paraId="000000CD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завершению экзамена студент должен сдать свой билет и лист ответов.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D1">
      <w:pPr>
        <w:ind w:left="253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left="3188" w:firstLine="0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Шкала качества ответ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ов</w:t>
      </w:r>
    </w:p>
    <w:tbl>
      <w:tblPr>
        <w:tblStyle w:val="Table1"/>
        <w:tblW w:w="9563.0" w:type="dxa"/>
        <w:jc w:val="left"/>
        <w:tblLayout w:type="fixed"/>
        <w:tblLook w:val="0400"/>
      </w:tblPr>
      <w:tblGrid>
        <w:gridCol w:w="1353"/>
        <w:gridCol w:w="6848"/>
        <w:gridCol w:w="1362"/>
        <w:tblGridChange w:id="0">
          <w:tblGrid>
            <w:gridCol w:w="1353"/>
            <w:gridCol w:w="6848"/>
            <w:gridCol w:w="136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Шкала, 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ind w:left="27" w:firstLine="2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 все ключевые аспекты включены и представлены логически; 2. высокая точность (актуальность, без избыточности) и постоянная фокусировка на вопросе;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отличная интеграция теоретических вопросов;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предоставление соответствующих примеров;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90–100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tbl>
      <w:tblPr>
        <w:tblStyle w:val="Table2"/>
        <w:tblW w:w="9600.0" w:type="dxa"/>
        <w:jc w:val="left"/>
        <w:tblLayout w:type="fixed"/>
        <w:tblLook w:val="0400"/>
      </w:tblPr>
      <w:tblGrid>
        <w:gridCol w:w="1380"/>
        <w:gridCol w:w="6855"/>
        <w:gridCol w:w="1365"/>
        <w:tblGridChange w:id="0">
          <w:tblGrid>
            <w:gridCol w:w="1380"/>
            <w:gridCol w:w="6855"/>
            <w:gridCol w:w="1365"/>
          </w:tblGrid>
        </w:tblGridChange>
      </w:tblGrid>
      <w:tr>
        <w:trPr>
          <w:cantSplit w:val="0"/>
          <w:trHeight w:val="11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ind w:left="20" w:firstLine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5. свободное владение профессиональной терминологией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ind w:left="2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1">
            <w:pPr>
              <w:ind w:left="27" w:right="15" w:firstLine="2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 все ключевые аспекты включены и представлены логически; 2. постоянное внимание к вопросу с удовлетворительной точностью, релевантностью и / или некоторой избыточностью;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32" w:right="164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удовлетворительная интеграция теоретических вопросов; 3. отсутствие примеров;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20" w:right="2" w:firstLine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 удовлетворительный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75 - 89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7">
            <w:pPr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48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удовл.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Включено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большинство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27" w:right="12" w:hanging="2.999999999999998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2. удовлетворительное внимание к вопросу - некоторые упущения уместности и / или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ind w:left="20" w:firstLine="12.00000000000000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Теоретические вопросы представлены без заметной интеграции; 3. Предоставление неудачных примеров или их отсутствие; 4. некоторый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50 - 70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ind w:left="5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EF">
            <w:pPr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5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ind w:left="22" w:right="6" w:hanging="1.0000000000000009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неудовлетворительно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 упущено большинство ключевых моментов;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ind w:left="23" w:right="8" w:firstLine="2.999999999999998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2. Отсутствие внимания к вопросу - отсутствие актуальности 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left="32" w:right="13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некоторые теоретические вопросы представлены так или иначе; 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ind w:left="20" w:firstLine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 некоторый анализ и теоретическое обоснование данной проблемы (если применимо), большинство ключевых аспектов упущены;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ind w:left="2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25–49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ind w:left="4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22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 удалось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1. упущено большинство или все ключевые аспекты;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ind w:left="26" w:right="1585" w:hanging="6.00000000000000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2. отсутствие акцента на вопросе, несущественная информация; 3. пропущенные или поверхностные теоретические вопросы;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ind w:left="20" w:right="5" w:firstLine="5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4. отсутствие анализа и теоретического обоснования данной проблемы (если применимо), упущено большинство ключевых аспектов;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FE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FF">
      <w:pPr>
        <w:ind w:right="3724"/>
        <w:jc w:val="righ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Система оценок</w:t>
      </w: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Ind w:w="10.0" w:type="dxa"/>
        <w:tblLayout w:type="fixed"/>
        <w:tblLook w:val="0400"/>
      </w:tblPr>
      <w:tblGrid>
        <w:gridCol w:w="1868"/>
        <w:gridCol w:w="3059"/>
        <w:gridCol w:w="1783"/>
        <w:gridCol w:w="2777"/>
        <w:tblGridChange w:id="0">
          <w:tblGrid>
            <w:gridCol w:w="1868"/>
            <w:gridCol w:w="3059"/>
            <w:gridCol w:w="1783"/>
            <w:gridCol w:w="2777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Буквенная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Цифровой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ind w:right="186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эквивалент 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% содержание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Традиционная системная оценка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95–100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10.0" w:type="dxa"/>
        <w:tblLayout w:type="fixed"/>
        <w:tblLook w:val="0400"/>
      </w:tblPr>
      <w:tblGrid>
        <w:gridCol w:w="1875"/>
        <w:gridCol w:w="3075"/>
        <w:gridCol w:w="1770"/>
        <w:gridCol w:w="2775"/>
        <w:tblGridChange w:id="0">
          <w:tblGrid>
            <w:gridCol w:w="1875"/>
            <w:gridCol w:w="3075"/>
            <w:gridCol w:w="1770"/>
            <w:gridCol w:w="27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хорошо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65–69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60–64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ind w:right="76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         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</w:t>
            </w:r>
          </w:p>
          <w:p w:rsidR="00000000" w:rsidDel="00000000" w:rsidP="00000000" w:rsidRDefault="00000000" w:rsidRPr="00000000" w14:paraId="00000132">
            <w:pPr>
              <w:ind w:left="330" w:right="28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неудовлетворительно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1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(Incomplete)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ind w:right="28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«Дисциплина не завершена» (не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принимается во внимание при 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3D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3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Основная литература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Ньюсбаум Р. Л., Макиннес Р. Р., Уиллард X. Ф. Медицинская генетика: учебник / Роберт Л. Ньюсбаум, Родерик Р. Макиннес, Хантингтон Ф.; Уиллард / редактор русского издания Н. П. Бочков; переводчик А. А. Туребеков. - М .: ГЭОТАР-Медиа, 2014. - 528б.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Медицинская биология и генетика. E.O. Куандыков ред. Алматы, 2004, 444 с.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Харкевич Д.А. «Фармакология» 2012 г.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ГЭОТАР-Медиа, 2016.-474с.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Абдырасулова ФБ «Общая рецептура» 2014 г.</w:t>
      </w:r>
    </w:p>
    <w:p w:rsidR="00000000" w:rsidDel="00000000" w:rsidP="00000000" w:rsidRDefault="00000000" w:rsidRPr="00000000" w14:paraId="00000144">
      <w:pPr>
        <w:ind w:left="425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14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Jorde, LB et al. (2016) Медицинская генетика.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Филадельфия, Пенсильвания: Эльзевир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Элементы медицинской генетики Эмери (2017) Turnpenny, PD, Ellard S. 15th Edition, Elsevier</w:t>
      </w:r>
    </w:p>
    <w:p w:rsidR="00000000" w:rsidDel="00000000" w:rsidP="00000000" w:rsidRDefault="00000000" w:rsidRPr="00000000" w14:paraId="00000149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Альбертс, Б. и др. (2015) Молекулярная биология клетки, 6-е издание. Нью-Йорк, Нью-Йорк: Наука о гирляндах</w:t>
      </w:r>
    </w:p>
    <w:p w:rsidR="00000000" w:rsidDel="00000000" w:rsidP="00000000" w:rsidRDefault="00000000" w:rsidRPr="00000000" w14:paraId="0000014A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Лодиш, Х. и др. (2016) Molecular Cell Biology, 8-е издание. WHFreeman</w:t>
      </w:r>
    </w:p>
    <w:p w:rsidR="00000000" w:rsidDel="00000000" w:rsidP="00000000" w:rsidRDefault="00000000" w:rsidRPr="00000000" w14:paraId="0000014B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Альбертс, Б. (2014) Essential Cell Biology, 4-е издание. Нью-Йорк, Нью-Йорк: Наука о гирляндах </w:t>
      </w:r>
    </w:p>
    <w:p w:rsidR="00000000" w:rsidDel="00000000" w:rsidP="00000000" w:rsidRDefault="00000000" w:rsidRPr="00000000" w14:paraId="0000014C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Hartwell, L. et al (2017) Генетика: от генов к геномам, 6-е издание. Нью-Йорк, штат Нью-Йорк: McGrawHill Education</w:t>
      </w:r>
    </w:p>
    <w:p w:rsidR="00000000" w:rsidDel="00000000" w:rsidP="00000000" w:rsidRDefault="00000000" w:rsidRPr="00000000" w14:paraId="0000014D">
      <w:pPr>
        <w:numPr>
          <w:ilvl w:val="0"/>
          <w:numId w:val="9"/>
        </w:numPr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Конспект лекций USMLE Step 1 (2017): Биохимия и медицинская генетика.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u w:val="single"/>
            <w:rtl w:val="0"/>
          </w:rPr>
          <w:t xml:space="preserve">Kaplan Publishing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 York, NY: McGrawHill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Куандыков Е.Е., Нуралиева У. А. Основы общей и медицинской генетики (цикл лекций). Алматы: Эверо, 2009. 216 с.</w:t>
      </w:r>
    </w:p>
    <w:p w:rsidR="00000000" w:rsidDel="00000000" w:rsidP="00000000" w:rsidRDefault="00000000" w:rsidRPr="00000000" w14:paraId="0000014F">
      <w:pPr>
        <w:ind w:right="173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highlight w:val="white"/>
          <w:rtl w:val="0"/>
        </w:rPr>
        <w:t xml:space="preserve">WWW ресурсы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right="173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2"/>
        </w:numPr>
        <w:ind w:left="0" w:right="158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OMIM® Online Mendelian Inheritance in Man® Интернет-каталог генов человека и генетических заболеваний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https://www.omim.org/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Реестр генетического тестирования (GTR®)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rtl w:val="0"/>
        </w:rPr>
        <w:t xml:space="preserve">h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ttps: //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www.ncbi.nlm.nih.gov/gtr/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Genetics Home Reference.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rtl w:val="0"/>
        </w:rPr>
        <w:t xml:space="preserve">ч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TTPS: //ghr.nlm.nih.gov/resources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ClinGen: Клиническая Геном ресурсов 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https://www.clinicalgenome.org/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Learn.Genetics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https://learn.genetics.utah.edu/content/ основы /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numPr>
          <w:ilvl w:val="0"/>
          <w:numId w:val="2"/>
        </w:numPr>
        <w:ind w:left="0" w:right="173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Ресурсы по клиническому генетическому образованию (курсы и лекции) </w:t>
      </w: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https://www.kumc.edu/gec/prof/genecour.html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numPr>
          <w:ilvl w:val="0"/>
          <w:numId w:val="2"/>
        </w:numPr>
        <w:ind w:left="0" w:right="6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Образовательная программа по геномике. 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https://www.genomicseducation.hee.nhs.uk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numPr>
          <w:ilvl w:val="0"/>
          <w:numId w:val="2"/>
        </w:numPr>
        <w:ind w:left="0" w:right="6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Учебная программа ELSEVIER «Клиническое обучение», 2018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numPr>
          <w:ilvl w:val="0"/>
          <w:numId w:val="2"/>
        </w:num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highlight w:val="white"/>
          <w:u w:val="single"/>
          <w:rtl w:val="0"/>
        </w:rPr>
        <w:t xml:space="preserve">https://www.msdmanuals.com/professional/clinical-pharmacology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18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cbi.nlm.nih.gov/gtr/" TargetMode="External"/><Relationship Id="rId10" Type="http://schemas.openxmlformats.org/officeDocument/2006/relationships/hyperlink" Target="https://translate.google.com/translate?hl=ru&amp;prev=_t&amp;sl=en&amp;tl=ru&amp;u=https://www.bookdepository.com/publishers/Kaplan-Publishing" TargetMode="External"/><Relationship Id="rId13" Type="http://schemas.openxmlformats.org/officeDocument/2006/relationships/hyperlink" Target="https://www.genomicseducation.hee.nhs.uk" TargetMode="External"/><Relationship Id="rId12" Type="http://schemas.openxmlformats.org/officeDocument/2006/relationships/hyperlink" Target="https://www.clinicalgenome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anslate.google.com/translate?hl=ru&amp;prev=_t&amp;sl=en&amp;tl=ru&amp;u=http://cat.lib.unimelb.edu.au/search~S30%3F/hElsevier%252C/helsevier/-3,-1,0,B/brows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E2/X46ZVdPiAqCmKCrgs9XUPA==">CgMxLjAyCGguZ2pkZ3hzOAByITE1X3FVTWxoRTRlaWpray1hdXpMbS0xRFEwNWRRLThaTw==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